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宋体" w:hAnsi="宋体" w:cs="宋体"/>
          <w:b/>
          <w:bCs/>
          <w:sz w:val="44"/>
          <w:szCs w:val="44"/>
        </w:rPr>
      </w:pPr>
    </w:p>
    <w:p>
      <w:pPr>
        <w:ind w:firstLine="1325" w:firstLineChars="300"/>
        <w:jc w:val="left"/>
        <w:rPr>
          <w:rFonts w:ascii="宋体" w:hAnsi="宋体" w:cs="宋体"/>
          <w:b/>
          <w:bCs/>
          <w:sz w:val="44"/>
          <w:szCs w:val="44"/>
        </w:rPr>
      </w:pPr>
      <w:r>
        <w:rPr>
          <w:rFonts w:hint="eastAsia" w:ascii="宋体" w:hAnsi="宋体" w:cs="宋体"/>
          <w:b/>
          <w:bCs/>
          <w:sz w:val="44"/>
          <w:szCs w:val="44"/>
        </w:rPr>
        <w:drawing>
          <wp:anchor distT="0" distB="0" distL="114300" distR="114300" simplePos="0" relativeHeight="251659264" behindDoc="0" locked="0" layoutInCell="1" allowOverlap="1">
            <wp:simplePos x="0" y="0"/>
            <wp:positionH relativeFrom="column">
              <wp:posOffset>8890</wp:posOffset>
            </wp:positionH>
            <wp:positionV relativeFrom="paragraph">
              <wp:posOffset>224155</wp:posOffset>
            </wp:positionV>
            <wp:extent cx="6119495" cy="1194435"/>
            <wp:effectExtent l="0" t="0" r="14605" b="5715"/>
            <wp:wrapSquare wrapText="bothSides"/>
            <wp:docPr id="1" name="图片 17" descr="工商学校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descr="工商学校02"/>
                    <pic:cNvPicPr>
                      <a:picLocks noChangeAspect="1"/>
                    </pic:cNvPicPr>
                  </pic:nvPicPr>
                  <pic:blipFill>
                    <a:blip r:embed="rId6"/>
                    <a:stretch>
                      <a:fillRect/>
                    </a:stretch>
                  </pic:blipFill>
                  <pic:spPr>
                    <a:xfrm>
                      <a:off x="0" y="0"/>
                      <a:ext cx="6119495" cy="1194435"/>
                    </a:xfrm>
                    <a:prstGeom prst="rect">
                      <a:avLst/>
                    </a:prstGeom>
                    <a:noFill/>
                    <a:ln>
                      <a:noFill/>
                    </a:ln>
                  </pic:spPr>
                </pic:pic>
              </a:graphicData>
            </a:graphic>
          </wp:anchor>
        </w:drawing>
      </w:r>
    </w:p>
    <w:p>
      <w:pPr>
        <w:spacing w:line="720" w:lineRule="auto"/>
        <w:ind w:right="1180"/>
        <w:rPr>
          <w:rFonts w:ascii="黑体" w:eastAsia="黑体"/>
          <w:b/>
          <w:sz w:val="84"/>
          <w:szCs w:val="84"/>
        </w:rPr>
      </w:pPr>
    </w:p>
    <w:p>
      <w:pPr>
        <w:jc w:val="left"/>
        <w:rPr>
          <w:rFonts w:ascii="黑体" w:eastAsia="黑体"/>
          <w:b/>
          <w:sz w:val="84"/>
          <w:szCs w:val="84"/>
        </w:rPr>
      </w:pPr>
    </w:p>
    <w:p>
      <w:pPr>
        <w:ind w:firstLine="843" w:firstLineChars="100"/>
        <w:jc w:val="left"/>
        <w:rPr>
          <w:rFonts w:ascii="黑体" w:eastAsia="黑体"/>
          <w:b/>
          <w:sz w:val="84"/>
          <w:szCs w:val="84"/>
        </w:rPr>
      </w:pPr>
      <w:r>
        <w:rPr>
          <w:rFonts w:hint="eastAsia" w:ascii="黑体" w:eastAsia="黑体"/>
          <w:b/>
          <w:sz w:val="84"/>
          <w:szCs w:val="84"/>
        </w:rPr>
        <w:t>《汽车服务与营销》</w:t>
      </w:r>
    </w:p>
    <w:p>
      <w:pPr>
        <w:ind w:firstLine="1446" w:firstLineChars="200"/>
        <w:jc w:val="left"/>
        <w:rPr>
          <w:rFonts w:ascii="黑体" w:eastAsia="黑体"/>
          <w:b/>
          <w:sz w:val="72"/>
          <w:szCs w:val="72"/>
        </w:rPr>
      </w:pPr>
      <w:r>
        <w:rPr>
          <w:rFonts w:hint="eastAsia" w:ascii="黑体" w:eastAsia="黑体"/>
          <w:b/>
          <w:sz w:val="72"/>
          <w:szCs w:val="72"/>
        </w:rPr>
        <w:t>专业人才培养方案</w:t>
      </w:r>
    </w:p>
    <w:p>
      <w:pPr>
        <w:ind w:firstLine="723" w:firstLineChars="100"/>
        <w:jc w:val="left"/>
        <w:rPr>
          <w:rFonts w:ascii="黑体" w:eastAsia="黑体"/>
          <w:b/>
          <w:sz w:val="72"/>
          <w:szCs w:val="72"/>
        </w:rPr>
      </w:pPr>
    </w:p>
    <w:tbl>
      <w:tblPr>
        <w:tblStyle w:val="10"/>
        <w:tblpPr w:leftFromText="180" w:rightFromText="180" w:vertAnchor="text" w:horzAnchor="page" w:tblpX="3029" w:tblpY="919"/>
        <w:tblOverlap w:val="never"/>
        <w:tblW w:w="5390" w:type="dxa"/>
        <w:tblInd w:w="0" w:type="dxa"/>
        <w:tblLayout w:type="fixed"/>
        <w:tblCellMar>
          <w:top w:w="0" w:type="dxa"/>
          <w:left w:w="0" w:type="dxa"/>
          <w:bottom w:w="0" w:type="dxa"/>
          <w:right w:w="0" w:type="dxa"/>
        </w:tblCellMar>
      </w:tblPr>
      <w:tblGrid>
        <w:gridCol w:w="453"/>
        <w:gridCol w:w="487"/>
        <w:gridCol w:w="486"/>
        <w:gridCol w:w="486"/>
        <w:gridCol w:w="796"/>
        <w:gridCol w:w="2682"/>
      </w:tblGrid>
      <w:tr>
        <w:tblPrEx>
          <w:tblCellMar>
            <w:top w:w="0" w:type="dxa"/>
            <w:left w:w="0" w:type="dxa"/>
            <w:bottom w:w="0" w:type="dxa"/>
            <w:right w:w="0" w:type="dxa"/>
          </w:tblCellMar>
        </w:tblPrEx>
        <w:trPr>
          <w:trHeight w:val="472" w:hRule="atLeast"/>
        </w:trPr>
        <w:tc>
          <w:tcPr>
            <w:tcW w:w="453" w:type="dxa"/>
            <w:vAlign w:val="center"/>
          </w:tcPr>
          <w:p>
            <w:pPr>
              <w:pStyle w:val="13"/>
              <w:spacing w:line="364" w:lineRule="exact"/>
              <w:ind w:right="33"/>
              <w:jc w:val="center"/>
              <w:rPr>
                <w:sz w:val="32"/>
              </w:rPr>
            </w:pPr>
            <w:r>
              <w:rPr>
                <w:w w:val="99"/>
                <w:sz w:val="32"/>
              </w:rPr>
              <w:t>专</w:t>
            </w:r>
          </w:p>
        </w:tc>
        <w:tc>
          <w:tcPr>
            <w:tcW w:w="487" w:type="dxa"/>
            <w:vAlign w:val="center"/>
          </w:tcPr>
          <w:p>
            <w:pPr>
              <w:pStyle w:val="13"/>
              <w:spacing w:line="364" w:lineRule="exact"/>
              <w:jc w:val="center"/>
              <w:rPr>
                <w:sz w:val="32"/>
              </w:rPr>
            </w:pPr>
            <w:r>
              <w:rPr>
                <w:w w:val="99"/>
                <w:sz w:val="32"/>
              </w:rPr>
              <w:t>业</w:t>
            </w:r>
          </w:p>
        </w:tc>
        <w:tc>
          <w:tcPr>
            <w:tcW w:w="486" w:type="dxa"/>
            <w:vAlign w:val="center"/>
          </w:tcPr>
          <w:p>
            <w:pPr>
              <w:pStyle w:val="13"/>
              <w:spacing w:line="364" w:lineRule="exact"/>
              <w:ind w:left="1"/>
              <w:jc w:val="center"/>
              <w:rPr>
                <w:sz w:val="32"/>
              </w:rPr>
            </w:pPr>
            <w:r>
              <w:rPr>
                <w:w w:val="99"/>
                <w:sz w:val="32"/>
              </w:rPr>
              <w:t>名</w:t>
            </w:r>
          </w:p>
        </w:tc>
        <w:tc>
          <w:tcPr>
            <w:tcW w:w="486" w:type="dxa"/>
            <w:vAlign w:val="center"/>
          </w:tcPr>
          <w:p>
            <w:pPr>
              <w:pStyle w:val="13"/>
              <w:spacing w:line="364" w:lineRule="exact"/>
              <w:jc w:val="center"/>
              <w:rPr>
                <w:sz w:val="32"/>
              </w:rPr>
            </w:pPr>
            <w:r>
              <w:rPr>
                <w:w w:val="99"/>
                <w:sz w:val="32"/>
              </w:rPr>
              <w:t>称</w:t>
            </w:r>
          </w:p>
        </w:tc>
        <w:tc>
          <w:tcPr>
            <w:tcW w:w="796" w:type="dxa"/>
            <w:vAlign w:val="center"/>
          </w:tcPr>
          <w:p>
            <w:pPr>
              <w:pStyle w:val="13"/>
              <w:spacing w:line="364" w:lineRule="exact"/>
              <w:ind w:left="84"/>
              <w:jc w:val="center"/>
              <w:rPr>
                <w:sz w:val="32"/>
              </w:rPr>
            </w:pPr>
            <w:r>
              <w:rPr>
                <w:w w:val="99"/>
                <w:sz w:val="32"/>
              </w:rPr>
              <w:t>：</w:t>
            </w:r>
          </w:p>
        </w:tc>
        <w:tc>
          <w:tcPr>
            <w:tcW w:w="2682" w:type="dxa"/>
            <w:vAlign w:val="center"/>
          </w:tcPr>
          <w:p>
            <w:pPr>
              <w:pStyle w:val="13"/>
              <w:spacing w:line="364" w:lineRule="exact"/>
              <w:jc w:val="center"/>
              <w:rPr>
                <w:rFonts w:ascii="仿宋" w:eastAsia="仿宋"/>
                <w:sz w:val="32"/>
              </w:rPr>
            </w:pPr>
            <w:r>
              <w:rPr>
                <w:rFonts w:hint="eastAsia" w:ascii="仿宋" w:eastAsia="仿宋"/>
                <w:sz w:val="32"/>
              </w:rPr>
              <w:t>汽车服务与营销</w:t>
            </w:r>
          </w:p>
        </w:tc>
      </w:tr>
      <w:tr>
        <w:tblPrEx>
          <w:tblCellMar>
            <w:top w:w="0" w:type="dxa"/>
            <w:left w:w="0" w:type="dxa"/>
            <w:bottom w:w="0" w:type="dxa"/>
            <w:right w:w="0" w:type="dxa"/>
          </w:tblCellMar>
        </w:tblPrEx>
        <w:trPr>
          <w:trHeight w:val="653" w:hRule="atLeast"/>
        </w:trPr>
        <w:tc>
          <w:tcPr>
            <w:tcW w:w="453" w:type="dxa"/>
            <w:vAlign w:val="center"/>
          </w:tcPr>
          <w:p>
            <w:pPr>
              <w:pStyle w:val="13"/>
              <w:spacing w:before="117"/>
              <w:ind w:right="33"/>
              <w:jc w:val="center"/>
              <w:rPr>
                <w:sz w:val="32"/>
              </w:rPr>
            </w:pPr>
            <w:r>
              <w:rPr>
                <w:w w:val="99"/>
                <w:sz w:val="32"/>
              </w:rPr>
              <w:t>专</w:t>
            </w:r>
          </w:p>
        </w:tc>
        <w:tc>
          <w:tcPr>
            <w:tcW w:w="487" w:type="dxa"/>
            <w:vAlign w:val="center"/>
          </w:tcPr>
          <w:p>
            <w:pPr>
              <w:pStyle w:val="13"/>
              <w:spacing w:before="117"/>
              <w:jc w:val="center"/>
              <w:rPr>
                <w:sz w:val="32"/>
              </w:rPr>
            </w:pPr>
            <w:r>
              <w:rPr>
                <w:w w:val="99"/>
                <w:sz w:val="32"/>
              </w:rPr>
              <w:t>业</w:t>
            </w:r>
          </w:p>
        </w:tc>
        <w:tc>
          <w:tcPr>
            <w:tcW w:w="486" w:type="dxa"/>
            <w:vAlign w:val="center"/>
          </w:tcPr>
          <w:p>
            <w:pPr>
              <w:pStyle w:val="13"/>
              <w:spacing w:before="117"/>
              <w:ind w:left="1"/>
              <w:jc w:val="center"/>
              <w:rPr>
                <w:sz w:val="32"/>
              </w:rPr>
            </w:pPr>
            <w:r>
              <w:rPr>
                <w:w w:val="99"/>
                <w:sz w:val="32"/>
              </w:rPr>
              <w:t>代</w:t>
            </w:r>
          </w:p>
        </w:tc>
        <w:tc>
          <w:tcPr>
            <w:tcW w:w="486" w:type="dxa"/>
            <w:vAlign w:val="center"/>
          </w:tcPr>
          <w:p>
            <w:pPr>
              <w:pStyle w:val="13"/>
              <w:spacing w:before="117"/>
              <w:jc w:val="center"/>
              <w:rPr>
                <w:sz w:val="32"/>
              </w:rPr>
            </w:pPr>
            <w:r>
              <w:rPr>
                <w:w w:val="99"/>
                <w:sz w:val="32"/>
              </w:rPr>
              <w:t>码</w:t>
            </w:r>
          </w:p>
        </w:tc>
        <w:tc>
          <w:tcPr>
            <w:tcW w:w="796" w:type="dxa"/>
            <w:vAlign w:val="center"/>
          </w:tcPr>
          <w:p>
            <w:pPr>
              <w:pStyle w:val="13"/>
              <w:spacing w:before="117"/>
              <w:ind w:left="84"/>
              <w:jc w:val="center"/>
              <w:rPr>
                <w:sz w:val="32"/>
              </w:rPr>
            </w:pPr>
            <w:r>
              <w:rPr>
                <w:w w:val="99"/>
                <w:sz w:val="32"/>
              </w:rPr>
              <w:t>：</w:t>
            </w:r>
          </w:p>
        </w:tc>
        <w:tc>
          <w:tcPr>
            <w:tcW w:w="2682" w:type="dxa"/>
            <w:vAlign w:val="center"/>
          </w:tcPr>
          <w:p>
            <w:pPr>
              <w:pStyle w:val="13"/>
              <w:spacing w:before="139"/>
              <w:jc w:val="center"/>
              <w:rPr>
                <w:rFonts w:ascii="Times New Roman"/>
                <w:sz w:val="32"/>
              </w:rPr>
            </w:pPr>
            <w:r>
              <w:rPr>
                <w:rFonts w:hint="eastAsia"/>
                <w:w w:val="99"/>
                <w:kern w:val="2"/>
                <w:sz w:val="32"/>
              </w:rPr>
              <w:t>700205</w:t>
            </w:r>
          </w:p>
        </w:tc>
      </w:tr>
      <w:tr>
        <w:tblPrEx>
          <w:tblCellMar>
            <w:top w:w="0" w:type="dxa"/>
            <w:left w:w="0" w:type="dxa"/>
            <w:bottom w:w="0" w:type="dxa"/>
            <w:right w:w="0" w:type="dxa"/>
          </w:tblCellMar>
        </w:tblPrEx>
        <w:trPr>
          <w:trHeight w:val="623" w:hRule="atLeast"/>
        </w:trPr>
        <w:tc>
          <w:tcPr>
            <w:tcW w:w="453" w:type="dxa"/>
            <w:vAlign w:val="center"/>
          </w:tcPr>
          <w:p>
            <w:pPr>
              <w:pStyle w:val="13"/>
              <w:spacing w:before="100"/>
              <w:ind w:right="33"/>
              <w:jc w:val="center"/>
              <w:rPr>
                <w:sz w:val="32"/>
              </w:rPr>
            </w:pPr>
            <w:r>
              <w:rPr>
                <w:w w:val="99"/>
                <w:sz w:val="32"/>
              </w:rPr>
              <w:t>适</w:t>
            </w:r>
          </w:p>
        </w:tc>
        <w:tc>
          <w:tcPr>
            <w:tcW w:w="487" w:type="dxa"/>
            <w:vAlign w:val="center"/>
          </w:tcPr>
          <w:p>
            <w:pPr>
              <w:pStyle w:val="13"/>
              <w:spacing w:before="100"/>
              <w:jc w:val="center"/>
              <w:rPr>
                <w:sz w:val="32"/>
              </w:rPr>
            </w:pPr>
            <w:r>
              <w:rPr>
                <w:w w:val="99"/>
                <w:sz w:val="32"/>
              </w:rPr>
              <w:t>用</w:t>
            </w:r>
          </w:p>
        </w:tc>
        <w:tc>
          <w:tcPr>
            <w:tcW w:w="486" w:type="dxa"/>
            <w:vAlign w:val="center"/>
          </w:tcPr>
          <w:p>
            <w:pPr>
              <w:pStyle w:val="13"/>
              <w:spacing w:before="100"/>
              <w:ind w:left="1"/>
              <w:jc w:val="center"/>
              <w:rPr>
                <w:sz w:val="32"/>
              </w:rPr>
            </w:pPr>
            <w:r>
              <w:rPr>
                <w:w w:val="99"/>
                <w:sz w:val="32"/>
              </w:rPr>
              <w:t>年</w:t>
            </w:r>
          </w:p>
        </w:tc>
        <w:tc>
          <w:tcPr>
            <w:tcW w:w="486" w:type="dxa"/>
            <w:vAlign w:val="center"/>
          </w:tcPr>
          <w:p>
            <w:pPr>
              <w:pStyle w:val="13"/>
              <w:spacing w:before="100"/>
              <w:jc w:val="center"/>
              <w:rPr>
                <w:sz w:val="32"/>
              </w:rPr>
            </w:pPr>
            <w:r>
              <w:rPr>
                <w:w w:val="99"/>
                <w:sz w:val="32"/>
              </w:rPr>
              <w:t>级</w:t>
            </w:r>
          </w:p>
        </w:tc>
        <w:tc>
          <w:tcPr>
            <w:tcW w:w="796" w:type="dxa"/>
            <w:vAlign w:val="center"/>
          </w:tcPr>
          <w:p>
            <w:pPr>
              <w:pStyle w:val="13"/>
              <w:spacing w:before="100"/>
              <w:ind w:left="84"/>
              <w:jc w:val="center"/>
              <w:rPr>
                <w:sz w:val="32"/>
              </w:rPr>
            </w:pPr>
            <w:r>
              <w:rPr>
                <w:w w:val="99"/>
                <w:sz w:val="32"/>
              </w:rPr>
              <w:t>：</w:t>
            </w:r>
          </w:p>
        </w:tc>
        <w:tc>
          <w:tcPr>
            <w:tcW w:w="2682" w:type="dxa"/>
            <w:vAlign w:val="center"/>
          </w:tcPr>
          <w:p>
            <w:pPr>
              <w:pStyle w:val="13"/>
              <w:spacing w:before="100"/>
              <w:jc w:val="center"/>
              <w:rPr>
                <w:rFonts w:ascii="仿宋" w:eastAsia="仿宋"/>
                <w:sz w:val="32"/>
              </w:rPr>
            </w:pPr>
            <w:r>
              <w:rPr>
                <w:rFonts w:hint="eastAsia" w:ascii="仿宋" w:eastAsia="仿宋"/>
                <w:sz w:val="32"/>
              </w:rPr>
              <w:t>202</w:t>
            </w:r>
            <w:r>
              <w:rPr>
                <w:rFonts w:hint="eastAsia" w:ascii="仿宋" w:eastAsia="仿宋"/>
                <w:sz w:val="32"/>
                <w:lang w:val="en-US"/>
              </w:rPr>
              <w:t>4届</w:t>
            </w:r>
          </w:p>
        </w:tc>
      </w:tr>
      <w:tr>
        <w:tblPrEx>
          <w:tblCellMar>
            <w:top w:w="0" w:type="dxa"/>
            <w:left w:w="0" w:type="dxa"/>
            <w:bottom w:w="0" w:type="dxa"/>
            <w:right w:w="0" w:type="dxa"/>
          </w:tblCellMar>
        </w:tblPrEx>
        <w:trPr>
          <w:trHeight w:val="477" w:hRule="atLeast"/>
        </w:trPr>
        <w:tc>
          <w:tcPr>
            <w:tcW w:w="453" w:type="dxa"/>
            <w:vAlign w:val="center"/>
          </w:tcPr>
          <w:p>
            <w:pPr>
              <w:pStyle w:val="13"/>
              <w:spacing w:before="112" w:line="345" w:lineRule="exact"/>
              <w:ind w:right="33"/>
              <w:jc w:val="center"/>
              <w:rPr>
                <w:sz w:val="32"/>
              </w:rPr>
            </w:pPr>
            <w:r>
              <w:rPr>
                <w:w w:val="99"/>
                <w:sz w:val="32"/>
              </w:rPr>
              <w:t>所</w:t>
            </w:r>
          </w:p>
        </w:tc>
        <w:tc>
          <w:tcPr>
            <w:tcW w:w="487" w:type="dxa"/>
            <w:vAlign w:val="center"/>
          </w:tcPr>
          <w:p>
            <w:pPr>
              <w:pStyle w:val="13"/>
              <w:spacing w:before="112" w:line="345" w:lineRule="exact"/>
              <w:jc w:val="center"/>
              <w:rPr>
                <w:sz w:val="32"/>
              </w:rPr>
            </w:pPr>
            <w:r>
              <w:rPr>
                <w:w w:val="99"/>
                <w:sz w:val="32"/>
              </w:rPr>
              <w:t>属</w:t>
            </w:r>
          </w:p>
        </w:tc>
        <w:tc>
          <w:tcPr>
            <w:tcW w:w="486" w:type="dxa"/>
            <w:vAlign w:val="center"/>
          </w:tcPr>
          <w:p>
            <w:pPr>
              <w:pStyle w:val="13"/>
              <w:spacing w:before="112" w:line="345" w:lineRule="exact"/>
              <w:ind w:left="1"/>
              <w:jc w:val="center"/>
              <w:rPr>
                <w:sz w:val="32"/>
              </w:rPr>
            </w:pPr>
            <w:r>
              <w:rPr>
                <w:rFonts w:hint="eastAsia"/>
                <w:w w:val="99"/>
                <w:sz w:val="32"/>
                <w:lang w:val="en-US"/>
              </w:rPr>
              <w:t>部</w:t>
            </w:r>
          </w:p>
        </w:tc>
        <w:tc>
          <w:tcPr>
            <w:tcW w:w="486" w:type="dxa"/>
            <w:vAlign w:val="center"/>
          </w:tcPr>
          <w:p>
            <w:pPr>
              <w:pStyle w:val="13"/>
              <w:spacing w:before="112" w:line="345" w:lineRule="exact"/>
              <w:jc w:val="center"/>
              <w:rPr>
                <w:sz w:val="32"/>
                <w:lang w:val="en-US"/>
              </w:rPr>
            </w:pPr>
            <w:r>
              <w:rPr>
                <w:rFonts w:hint="eastAsia"/>
                <w:sz w:val="32"/>
                <w:lang w:val="en-US"/>
              </w:rPr>
              <w:t>门</w:t>
            </w:r>
          </w:p>
        </w:tc>
        <w:tc>
          <w:tcPr>
            <w:tcW w:w="796" w:type="dxa"/>
            <w:vAlign w:val="center"/>
          </w:tcPr>
          <w:p>
            <w:pPr>
              <w:pStyle w:val="13"/>
              <w:spacing w:before="112" w:line="345" w:lineRule="exact"/>
              <w:ind w:left="84"/>
              <w:jc w:val="center"/>
              <w:rPr>
                <w:sz w:val="32"/>
              </w:rPr>
            </w:pPr>
            <w:r>
              <w:rPr>
                <w:w w:val="99"/>
                <w:sz w:val="32"/>
              </w:rPr>
              <w:t>：</w:t>
            </w:r>
          </w:p>
        </w:tc>
        <w:tc>
          <w:tcPr>
            <w:tcW w:w="2682" w:type="dxa"/>
            <w:vAlign w:val="center"/>
          </w:tcPr>
          <w:p>
            <w:pPr>
              <w:pStyle w:val="13"/>
              <w:spacing w:before="112" w:line="345" w:lineRule="exact"/>
              <w:jc w:val="center"/>
              <w:rPr>
                <w:rFonts w:ascii="仿宋" w:eastAsia="仿宋"/>
                <w:sz w:val="32"/>
              </w:rPr>
            </w:pPr>
            <w:r>
              <w:rPr>
                <w:rFonts w:hint="eastAsia" w:ascii="仿宋" w:eastAsia="仿宋"/>
                <w:sz w:val="32"/>
                <w:lang w:val="en-US"/>
              </w:rPr>
              <w:t>汽车工程系</w:t>
            </w:r>
          </w:p>
        </w:tc>
      </w:tr>
    </w:tbl>
    <w:p>
      <w:pPr>
        <w:ind w:firstLine="723" w:firstLineChars="100"/>
        <w:jc w:val="left"/>
        <w:rPr>
          <w:rFonts w:ascii="黑体" w:eastAsia="黑体"/>
          <w:b/>
          <w:sz w:val="72"/>
          <w:szCs w:val="72"/>
        </w:rPr>
      </w:pPr>
    </w:p>
    <w:p>
      <w:pPr>
        <w:spacing w:line="720" w:lineRule="auto"/>
        <w:ind w:right="1180"/>
        <w:rPr>
          <w:rFonts w:ascii="黑体" w:eastAsia="黑体"/>
          <w:b/>
          <w:sz w:val="84"/>
          <w:szCs w:val="84"/>
        </w:rPr>
      </w:pPr>
    </w:p>
    <w:p>
      <w:pPr>
        <w:spacing w:line="720" w:lineRule="auto"/>
        <w:ind w:left="1180" w:right="1180"/>
        <w:jc w:val="center"/>
        <w:rPr>
          <w:rFonts w:ascii="黑体" w:eastAsia="黑体"/>
          <w:b/>
          <w:sz w:val="84"/>
          <w:szCs w:val="84"/>
        </w:rPr>
      </w:pPr>
    </w:p>
    <w:p>
      <w:pPr>
        <w:ind w:firstLine="1320" w:firstLineChars="300"/>
        <w:jc w:val="center"/>
        <w:rPr>
          <w:sz w:val="44"/>
          <w:szCs w:val="44"/>
        </w:rPr>
      </w:pPr>
    </w:p>
    <w:p>
      <w:pPr>
        <w:ind w:firstLine="1320" w:firstLineChars="300"/>
        <w:jc w:val="center"/>
        <w:rPr>
          <w:sz w:val="44"/>
          <w:szCs w:val="44"/>
        </w:rPr>
      </w:pPr>
    </w:p>
    <w:p>
      <w:pPr>
        <w:tabs>
          <w:tab w:val="left" w:pos="5392"/>
        </w:tabs>
        <w:spacing w:before="54"/>
        <w:jc w:val="center"/>
        <w:rPr>
          <w:sz w:val="44"/>
          <w:szCs w:val="44"/>
        </w:rPr>
      </w:pPr>
      <w:r>
        <w:rPr>
          <w:spacing w:val="-65"/>
          <w:sz w:val="32"/>
        </w:rPr>
        <w:t>修</w:t>
      </w:r>
      <w:r>
        <w:rPr>
          <w:sz w:val="32"/>
        </w:rPr>
        <w:t>（制</w:t>
      </w:r>
      <w:r>
        <w:rPr>
          <w:spacing w:val="-65"/>
          <w:sz w:val="32"/>
        </w:rPr>
        <w:t>）</w:t>
      </w:r>
      <w:r>
        <w:rPr>
          <w:sz w:val="32"/>
        </w:rPr>
        <w:t>订时间：</w:t>
      </w:r>
      <w:r>
        <w:rPr>
          <w:rFonts w:hint="eastAsia" w:ascii="仿宋" w:eastAsia="仿宋"/>
          <w:sz w:val="32"/>
        </w:rPr>
        <w:t>2021年</w:t>
      </w:r>
      <w:r>
        <w:rPr>
          <w:rFonts w:hint="eastAsia" w:ascii="仿宋" w:eastAsia="仿宋"/>
          <w:spacing w:val="-79"/>
          <w:sz w:val="32"/>
        </w:rPr>
        <w:t xml:space="preserve">6   </w:t>
      </w:r>
      <w:r>
        <w:rPr>
          <w:rFonts w:hint="eastAsia" w:ascii="仿宋" w:eastAsia="仿宋"/>
          <w:sz w:val="32"/>
        </w:rPr>
        <w:t>月</w:t>
      </w:r>
    </w:p>
    <w:p>
      <w:pPr>
        <w:jc w:val="center"/>
        <w:rPr>
          <w:rFonts w:hint="eastAsia"/>
          <w:b/>
          <w:bCs/>
          <w:sz w:val="44"/>
          <w:szCs w:val="44"/>
        </w:rPr>
        <w:sectPr>
          <w:pgSz w:w="11906" w:h="16838"/>
          <w:pgMar w:top="1134" w:right="1134" w:bottom="1134" w:left="1134" w:header="851" w:footer="992" w:gutter="0"/>
          <w:pgNumType w:fmt="decimal" w:start="1"/>
          <w:cols w:space="0" w:num="1"/>
          <w:docGrid w:type="lines" w:linePitch="312" w:charSpace="0"/>
        </w:sectPr>
      </w:pPr>
    </w:p>
    <w:p>
      <w:pPr>
        <w:jc w:val="center"/>
        <w:rPr>
          <w:rFonts w:eastAsia="仿宋_GB2312"/>
          <w:sz w:val="44"/>
          <w:szCs w:val="44"/>
        </w:rPr>
      </w:pPr>
      <w:r>
        <w:rPr>
          <w:rFonts w:hint="eastAsia"/>
          <w:b/>
          <w:bCs/>
          <w:sz w:val="44"/>
          <w:szCs w:val="44"/>
        </w:rPr>
        <w:t>目录</w:t>
      </w:r>
    </w:p>
    <w:p>
      <w:pPr>
        <w:pStyle w:val="6"/>
        <w:tabs>
          <w:tab w:val="right" w:leader="dot" w:pos="9638"/>
        </w:tabs>
        <w:spacing w:line="500" w:lineRule="exact"/>
        <w:rPr>
          <w:rFonts w:eastAsia="仿宋_GB2312"/>
          <w:kern w:val="44"/>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TOC \o "1-2" \h \u </w:instrText>
      </w:r>
      <w:r>
        <w:rPr>
          <w:rFonts w:hint="eastAsia" w:ascii="仿宋_GB2312" w:hAnsi="仿宋_GB2312" w:eastAsia="仿宋_GB2312" w:cs="仿宋_GB2312"/>
          <w:sz w:val="28"/>
          <w:szCs w:val="28"/>
        </w:rPr>
        <w:fldChar w:fldCharType="separate"/>
      </w:r>
      <w:r>
        <w:fldChar w:fldCharType="begin"/>
      </w:r>
      <w:r>
        <w:instrText xml:space="preserve"> HYPERLINK \l "_Toc29315" </w:instrText>
      </w:r>
      <w:r>
        <w:fldChar w:fldCharType="separate"/>
      </w:r>
      <w:r>
        <w:rPr>
          <w:rFonts w:hint="eastAsia" w:ascii="仿宋_GB2312" w:hAnsi="仿宋_GB2312" w:eastAsia="仿宋_GB2312" w:cs="仿宋_GB2312"/>
          <w:kern w:val="44"/>
          <w:sz w:val="28"/>
          <w:szCs w:val="28"/>
        </w:rPr>
        <w:t>一、专业名称（专业代码）</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_Toc29315 </w:instrText>
      </w:r>
      <w:r>
        <w:rPr>
          <w:rFonts w:eastAsia="仿宋_GB2312"/>
          <w:kern w:val="44"/>
          <w:sz w:val="28"/>
          <w:szCs w:val="28"/>
        </w:rPr>
        <w:fldChar w:fldCharType="separate"/>
      </w:r>
      <w:r>
        <w:rPr>
          <w:rFonts w:eastAsia="仿宋_GB2312"/>
          <w:kern w:val="44"/>
          <w:sz w:val="28"/>
          <w:szCs w:val="28"/>
        </w:rPr>
        <w:t>3</w:t>
      </w:r>
      <w:r>
        <w:rPr>
          <w:rFonts w:eastAsia="仿宋_GB2312"/>
          <w:kern w:val="44"/>
          <w:sz w:val="28"/>
          <w:szCs w:val="28"/>
        </w:rPr>
        <w:fldChar w:fldCharType="end"/>
      </w:r>
      <w:r>
        <w:rPr>
          <w:rFonts w:eastAsia="仿宋_GB2312"/>
          <w:kern w:val="44"/>
          <w:sz w:val="28"/>
          <w:szCs w:val="28"/>
        </w:rPr>
        <w:fldChar w:fldCharType="end"/>
      </w:r>
    </w:p>
    <w:p>
      <w:pPr>
        <w:pStyle w:val="6"/>
        <w:tabs>
          <w:tab w:val="right" w:leader="dot" w:pos="9638"/>
        </w:tabs>
        <w:spacing w:line="500" w:lineRule="exact"/>
        <w:rPr>
          <w:rFonts w:eastAsia="仿宋_GB2312"/>
          <w:kern w:val="44"/>
          <w:sz w:val="28"/>
          <w:szCs w:val="28"/>
        </w:rPr>
      </w:pPr>
      <w:r>
        <w:fldChar w:fldCharType="begin"/>
      </w:r>
      <w:r>
        <w:instrText xml:space="preserve"> HYPERLINK \l "_Toc14981" </w:instrText>
      </w:r>
      <w:r>
        <w:fldChar w:fldCharType="separate"/>
      </w:r>
      <w:r>
        <w:rPr>
          <w:rFonts w:hint="eastAsia" w:ascii="仿宋_GB2312" w:hAnsi="仿宋_GB2312" w:eastAsia="仿宋_GB2312" w:cs="仿宋_GB2312"/>
          <w:kern w:val="44"/>
          <w:sz w:val="28"/>
          <w:szCs w:val="28"/>
        </w:rPr>
        <w:t>二、入学要求</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_Toc14981 </w:instrText>
      </w:r>
      <w:r>
        <w:rPr>
          <w:rFonts w:eastAsia="仿宋_GB2312"/>
          <w:kern w:val="44"/>
          <w:sz w:val="28"/>
          <w:szCs w:val="28"/>
        </w:rPr>
        <w:fldChar w:fldCharType="separate"/>
      </w:r>
      <w:r>
        <w:rPr>
          <w:rFonts w:eastAsia="仿宋_GB2312"/>
          <w:kern w:val="44"/>
          <w:sz w:val="28"/>
          <w:szCs w:val="28"/>
        </w:rPr>
        <w:t>3</w:t>
      </w:r>
      <w:r>
        <w:rPr>
          <w:rFonts w:eastAsia="仿宋_GB2312"/>
          <w:kern w:val="44"/>
          <w:sz w:val="28"/>
          <w:szCs w:val="28"/>
        </w:rPr>
        <w:fldChar w:fldCharType="end"/>
      </w:r>
      <w:r>
        <w:rPr>
          <w:rFonts w:eastAsia="仿宋_GB2312"/>
          <w:kern w:val="44"/>
          <w:sz w:val="28"/>
          <w:szCs w:val="28"/>
        </w:rPr>
        <w:fldChar w:fldCharType="end"/>
      </w:r>
    </w:p>
    <w:p>
      <w:pPr>
        <w:pStyle w:val="6"/>
        <w:tabs>
          <w:tab w:val="right" w:leader="dot" w:pos="9638"/>
        </w:tabs>
        <w:spacing w:line="500" w:lineRule="exact"/>
        <w:rPr>
          <w:rFonts w:eastAsia="仿宋_GB2312"/>
          <w:kern w:val="44"/>
          <w:sz w:val="28"/>
          <w:szCs w:val="28"/>
        </w:rPr>
      </w:pPr>
      <w:r>
        <w:fldChar w:fldCharType="begin"/>
      </w:r>
      <w:r>
        <w:instrText xml:space="preserve"> HYPERLINK \l "_Toc14218" </w:instrText>
      </w:r>
      <w:r>
        <w:fldChar w:fldCharType="separate"/>
      </w:r>
      <w:r>
        <w:rPr>
          <w:rFonts w:hint="eastAsia" w:ascii="仿宋_GB2312" w:hAnsi="仿宋_GB2312" w:eastAsia="仿宋_GB2312" w:cs="仿宋_GB2312"/>
          <w:kern w:val="44"/>
          <w:sz w:val="28"/>
          <w:szCs w:val="28"/>
        </w:rPr>
        <w:t>三、修业年限</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_Toc14218 </w:instrText>
      </w:r>
      <w:r>
        <w:rPr>
          <w:rFonts w:eastAsia="仿宋_GB2312"/>
          <w:kern w:val="44"/>
          <w:sz w:val="28"/>
          <w:szCs w:val="28"/>
        </w:rPr>
        <w:fldChar w:fldCharType="separate"/>
      </w:r>
      <w:r>
        <w:rPr>
          <w:rFonts w:eastAsia="仿宋_GB2312"/>
          <w:kern w:val="44"/>
          <w:sz w:val="28"/>
          <w:szCs w:val="28"/>
        </w:rPr>
        <w:t>3</w:t>
      </w:r>
      <w:r>
        <w:rPr>
          <w:rFonts w:eastAsia="仿宋_GB2312"/>
          <w:kern w:val="44"/>
          <w:sz w:val="28"/>
          <w:szCs w:val="28"/>
        </w:rPr>
        <w:fldChar w:fldCharType="end"/>
      </w:r>
      <w:r>
        <w:rPr>
          <w:rFonts w:eastAsia="仿宋_GB2312"/>
          <w:kern w:val="44"/>
          <w:sz w:val="28"/>
          <w:szCs w:val="28"/>
        </w:rPr>
        <w:fldChar w:fldCharType="end"/>
      </w:r>
    </w:p>
    <w:p>
      <w:pPr>
        <w:pStyle w:val="6"/>
        <w:tabs>
          <w:tab w:val="right" w:leader="dot" w:pos="9638"/>
        </w:tabs>
        <w:spacing w:line="500" w:lineRule="exact"/>
        <w:rPr>
          <w:rFonts w:eastAsia="仿宋_GB2312"/>
          <w:kern w:val="44"/>
          <w:sz w:val="28"/>
          <w:szCs w:val="28"/>
        </w:rPr>
      </w:pPr>
      <w:r>
        <w:fldChar w:fldCharType="begin"/>
      </w:r>
      <w:r>
        <w:instrText xml:space="preserve"> HYPERLINK \l "_Toc12939" </w:instrText>
      </w:r>
      <w:r>
        <w:fldChar w:fldCharType="separate"/>
      </w:r>
      <w:r>
        <w:rPr>
          <w:rFonts w:hint="eastAsia" w:ascii="仿宋_GB2312" w:hAnsi="仿宋_GB2312" w:eastAsia="仿宋_GB2312" w:cs="仿宋_GB2312"/>
          <w:kern w:val="44"/>
          <w:sz w:val="28"/>
          <w:szCs w:val="28"/>
        </w:rPr>
        <w:t>四、职业面向和接续专业</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_Toc12939 </w:instrText>
      </w:r>
      <w:r>
        <w:rPr>
          <w:rFonts w:eastAsia="仿宋_GB2312"/>
          <w:kern w:val="44"/>
          <w:sz w:val="28"/>
          <w:szCs w:val="28"/>
        </w:rPr>
        <w:fldChar w:fldCharType="separate"/>
      </w:r>
      <w:r>
        <w:rPr>
          <w:rFonts w:eastAsia="仿宋_GB2312"/>
          <w:kern w:val="44"/>
          <w:sz w:val="28"/>
          <w:szCs w:val="28"/>
        </w:rPr>
        <w:t>3</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"_Toc22472" </w:instrText>
      </w:r>
      <w:r>
        <w:fldChar w:fldCharType="separate"/>
      </w:r>
      <w:r>
        <w:rPr>
          <w:rFonts w:hint="eastAsia" w:ascii="仿宋_GB2312" w:hAnsi="仿宋_GB2312" w:eastAsia="仿宋_GB2312" w:cs="仿宋_GB2312"/>
          <w:kern w:val="44"/>
          <w:sz w:val="28"/>
          <w:szCs w:val="28"/>
        </w:rPr>
        <w:t>（一</w:t>
      </w:r>
      <w:r>
        <w:rPr>
          <w:rFonts w:hint="eastAsia" w:ascii="仿宋_GB2312" w:hAnsi="仿宋_GB2312" w:eastAsia="仿宋_GB2312" w:cs="仿宋_GB2312"/>
          <w:kern w:val="44"/>
          <w:sz w:val="28"/>
          <w:szCs w:val="28"/>
          <w:lang w:val="zh-CN"/>
        </w:rPr>
        <w:t>）职</w:t>
      </w:r>
      <w:r>
        <w:rPr>
          <w:rFonts w:hint="eastAsia" w:ascii="仿宋_GB2312" w:hAnsi="仿宋_GB2312" w:eastAsia="仿宋_GB2312" w:cs="仿宋_GB2312"/>
          <w:kern w:val="44"/>
          <w:sz w:val="28"/>
          <w:szCs w:val="28"/>
        </w:rPr>
        <w:t>业面向</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_Toc22472 </w:instrText>
      </w:r>
      <w:r>
        <w:rPr>
          <w:rFonts w:eastAsia="仿宋_GB2312"/>
          <w:kern w:val="44"/>
          <w:sz w:val="28"/>
          <w:szCs w:val="28"/>
        </w:rPr>
        <w:fldChar w:fldCharType="separate"/>
      </w:r>
      <w:r>
        <w:rPr>
          <w:rFonts w:eastAsia="仿宋_GB2312"/>
          <w:kern w:val="44"/>
          <w:sz w:val="28"/>
          <w:szCs w:val="28"/>
        </w:rPr>
        <w:t>3</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"_Toc8197" </w:instrText>
      </w:r>
      <w:r>
        <w:fldChar w:fldCharType="separate"/>
      </w:r>
      <w:r>
        <w:rPr>
          <w:rFonts w:hint="eastAsia" w:ascii="仿宋_GB2312" w:hAnsi="仿宋_GB2312" w:eastAsia="仿宋_GB2312" w:cs="仿宋_GB2312"/>
          <w:kern w:val="44"/>
          <w:sz w:val="28"/>
          <w:szCs w:val="28"/>
        </w:rPr>
        <w:t>（二</w:t>
      </w:r>
      <w:r>
        <w:rPr>
          <w:rFonts w:hint="eastAsia" w:ascii="仿宋_GB2312" w:hAnsi="仿宋_GB2312" w:eastAsia="仿宋_GB2312" w:cs="仿宋_GB2312"/>
          <w:kern w:val="44"/>
          <w:sz w:val="28"/>
          <w:szCs w:val="28"/>
          <w:lang w:val="zh-CN"/>
        </w:rPr>
        <w:t>）接</w:t>
      </w:r>
      <w:r>
        <w:rPr>
          <w:rFonts w:hint="eastAsia" w:ascii="仿宋_GB2312" w:hAnsi="仿宋_GB2312" w:eastAsia="仿宋_GB2312" w:cs="仿宋_GB2312"/>
          <w:kern w:val="44"/>
          <w:sz w:val="28"/>
          <w:szCs w:val="28"/>
        </w:rPr>
        <w:t>续专业</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_Toc8197 </w:instrText>
      </w:r>
      <w:r>
        <w:rPr>
          <w:rFonts w:eastAsia="仿宋_GB2312"/>
          <w:kern w:val="44"/>
          <w:sz w:val="28"/>
          <w:szCs w:val="28"/>
        </w:rPr>
        <w:fldChar w:fldCharType="separate"/>
      </w:r>
      <w:r>
        <w:rPr>
          <w:rFonts w:eastAsia="仿宋_GB2312"/>
          <w:kern w:val="44"/>
          <w:sz w:val="28"/>
          <w:szCs w:val="28"/>
        </w:rPr>
        <w:t>3</w:t>
      </w:r>
      <w:r>
        <w:rPr>
          <w:rFonts w:eastAsia="仿宋_GB2312"/>
          <w:kern w:val="44"/>
          <w:sz w:val="28"/>
          <w:szCs w:val="28"/>
        </w:rPr>
        <w:fldChar w:fldCharType="end"/>
      </w:r>
      <w:r>
        <w:rPr>
          <w:rFonts w:eastAsia="仿宋_GB2312"/>
          <w:kern w:val="44"/>
          <w:sz w:val="28"/>
          <w:szCs w:val="28"/>
        </w:rPr>
        <w:fldChar w:fldCharType="end"/>
      </w:r>
    </w:p>
    <w:p>
      <w:pPr>
        <w:pStyle w:val="6"/>
        <w:tabs>
          <w:tab w:val="right" w:leader="dot" w:pos="9638"/>
        </w:tabs>
        <w:spacing w:line="500" w:lineRule="exact"/>
        <w:rPr>
          <w:rFonts w:eastAsia="仿宋_GB2312"/>
          <w:kern w:val="44"/>
          <w:sz w:val="28"/>
          <w:szCs w:val="28"/>
        </w:rPr>
      </w:pPr>
      <w:r>
        <w:fldChar w:fldCharType="begin"/>
      </w:r>
      <w:r>
        <w:instrText xml:space="preserve"> HYPERLINK \l "_Toc28515" </w:instrText>
      </w:r>
      <w:r>
        <w:fldChar w:fldCharType="separate"/>
      </w:r>
      <w:r>
        <w:rPr>
          <w:rFonts w:hint="eastAsia" w:ascii="仿宋_GB2312" w:hAnsi="仿宋_GB2312" w:eastAsia="仿宋_GB2312" w:cs="仿宋_GB2312"/>
          <w:kern w:val="44"/>
          <w:sz w:val="28"/>
          <w:szCs w:val="28"/>
        </w:rPr>
        <w:t>五、培养目标与培养规格</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_Toc28515 </w:instrText>
      </w:r>
      <w:r>
        <w:rPr>
          <w:rFonts w:eastAsia="仿宋_GB2312"/>
          <w:kern w:val="44"/>
          <w:sz w:val="28"/>
          <w:szCs w:val="28"/>
        </w:rPr>
        <w:fldChar w:fldCharType="separate"/>
      </w:r>
      <w:r>
        <w:rPr>
          <w:rFonts w:eastAsia="仿宋_GB2312"/>
          <w:kern w:val="44"/>
          <w:sz w:val="28"/>
          <w:szCs w:val="28"/>
        </w:rPr>
        <w:t>3</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"_Toc22839" </w:instrText>
      </w:r>
      <w:r>
        <w:fldChar w:fldCharType="separate"/>
      </w:r>
      <w:r>
        <w:rPr>
          <w:rFonts w:hint="eastAsia" w:ascii="仿宋_GB2312" w:hAnsi="仿宋_GB2312" w:eastAsia="仿宋_GB2312" w:cs="仿宋_GB2312"/>
          <w:kern w:val="44"/>
          <w:sz w:val="28"/>
          <w:szCs w:val="28"/>
        </w:rPr>
        <w:t>（一）培养目标</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_Toc22839 </w:instrText>
      </w:r>
      <w:r>
        <w:rPr>
          <w:rFonts w:eastAsia="仿宋_GB2312"/>
          <w:kern w:val="44"/>
          <w:sz w:val="28"/>
          <w:szCs w:val="28"/>
        </w:rPr>
        <w:fldChar w:fldCharType="separate"/>
      </w:r>
      <w:r>
        <w:rPr>
          <w:rFonts w:eastAsia="仿宋_GB2312"/>
          <w:kern w:val="44"/>
          <w:sz w:val="28"/>
          <w:szCs w:val="28"/>
        </w:rPr>
        <w:t>3</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"_Toc25442" </w:instrText>
      </w:r>
      <w:r>
        <w:fldChar w:fldCharType="separate"/>
      </w:r>
      <w:r>
        <w:rPr>
          <w:rFonts w:hint="eastAsia" w:ascii="仿宋_GB2312" w:hAnsi="仿宋_GB2312" w:eastAsia="仿宋_GB2312" w:cs="仿宋_GB2312"/>
          <w:kern w:val="44"/>
          <w:sz w:val="28"/>
          <w:szCs w:val="28"/>
        </w:rPr>
        <w:t>（二）培养规格</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_Toc25442 </w:instrText>
      </w:r>
      <w:r>
        <w:rPr>
          <w:rFonts w:eastAsia="仿宋_GB2312"/>
          <w:kern w:val="44"/>
          <w:sz w:val="28"/>
          <w:szCs w:val="28"/>
        </w:rPr>
        <w:fldChar w:fldCharType="separate"/>
      </w:r>
      <w:r>
        <w:rPr>
          <w:rFonts w:eastAsia="仿宋_GB2312"/>
          <w:kern w:val="44"/>
          <w:sz w:val="28"/>
          <w:szCs w:val="28"/>
        </w:rPr>
        <w:t>3</w:t>
      </w:r>
      <w:r>
        <w:rPr>
          <w:rFonts w:eastAsia="仿宋_GB2312"/>
          <w:kern w:val="44"/>
          <w:sz w:val="28"/>
          <w:szCs w:val="28"/>
        </w:rPr>
        <w:fldChar w:fldCharType="end"/>
      </w:r>
      <w:r>
        <w:rPr>
          <w:rFonts w:eastAsia="仿宋_GB2312"/>
          <w:kern w:val="44"/>
          <w:sz w:val="28"/>
          <w:szCs w:val="28"/>
        </w:rPr>
        <w:fldChar w:fldCharType="end"/>
      </w:r>
    </w:p>
    <w:p>
      <w:pPr>
        <w:pStyle w:val="6"/>
        <w:tabs>
          <w:tab w:val="right" w:leader="dot" w:pos="9638"/>
        </w:tabs>
        <w:spacing w:line="500" w:lineRule="exact"/>
        <w:rPr>
          <w:rFonts w:eastAsia="仿宋_GB2312"/>
          <w:kern w:val="44"/>
          <w:sz w:val="28"/>
          <w:szCs w:val="28"/>
        </w:rPr>
      </w:pPr>
      <w:r>
        <w:fldChar w:fldCharType="begin"/>
      </w:r>
      <w:r>
        <w:instrText xml:space="preserve"> HYPERLINK \l "_Toc16280" </w:instrText>
      </w:r>
      <w:r>
        <w:fldChar w:fldCharType="separate"/>
      </w:r>
      <w:r>
        <w:rPr>
          <w:rFonts w:hint="eastAsia" w:ascii="仿宋_GB2312" w:hAnsi="仿宋_GB2312" w:eastAsia="仿宋_GB2312" w:cs="仿宋_GB2312"/>
          <w:kern w:val="44"/>
          <w:sz w:val="28"/>
          <w:szCs w:val="28"/>
        </w:rPr>
        <w:t>六、课程设置及要求</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_Toc16280 </w:instrText>
      </w:r>
      <w:r>
        <w:rPr>
          <w:rFonts w:eastAsia="仿宋_GB2312"/>
          <w:kern w:val="44"/>
          <w:sz w:val="28"/>
          <w:szCs w:val="28"/>
        </w:rPr>
        <w:fldChar w:fldCharType="separate"/>
      </w:r>
      <w:r>
        <w:rPr>
          <w:rFonts w:eastAsia="仿宋_GB2312"/>
          <w:kern w:val="44"/>
          <w:sz w:val="28"/>
          <w:szCs w:val="28"/>
        </w:rPr>
        <w:t>5</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"_Toc1477" </w:instrText>
      </w:r>
      <w:r>
        <w:fldChar w:fldCharType="separate"/>
      </w:r>
      <w:r>
        <w:rPr>
          <w:rFonts w:hint="eastAsia" w:ascii="仿宋_GB2312" w:hAnsi="仿宋_GB2312" w:eastAsia="仿宋_GB2312" w:cs="仿宋_GB2312"/>
          <w:kern w:val="44"/>
          <w:sz w:val="28"/>
          <w:szCs w:val="28"/>
        </w:rPr>
        <w:t>（一）</w:t>
      </w:r>
      <w:r>
        <w:rPr>
          <w:rFonts w:hint="eastAsia" w:ascii="仿宋_GB2312" w:hAnsi="仿宋_GB2312" w:eastAsia="仿宋_GB2312" w:cs="仿宋_GB2312"/>
          <w:kern w:val="44"/>
          <w:sz w:val="28"/>
          <w:szCs w:val="28"/>
          <w:lang w:val="zh-CN"/>
        </w:rPr>
        <w:t>课</w:t>
      </w:r>
      <w:r>
        <w:rPr>
          <w:rFonts w:hint="eastAsia" w:ascii="仿宋_GB2312" w:hAnsi="仿宋_GB2312" w:eastAsia="仿宋_GB2312" w:cs="仿宋_GB2312"/>
          <w:kern w:val="44"/>
          <w:sz w:val="28"/>
          <w:szCs w:val="28"/>
        </w:rPr>
        <w:t>程结构</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_Toc1477 </w:instrText>
      </w:r>
      <w:r>
        <w:rPr>
          <w:rFonts w:eastAsia="仿宋_GB2312"/>
          <w:kern w:val="44"/>
          <w:sz w:val="28"/>
          <w:szCs w:val="28"/>
        </w:rPr>
        <w:fldChar w:fldCharType="separate"/>
      </w:r>
      <w:r>
        <w:rPr>
          <w:rFonts w:eastAsia="仿宋_GB2312"/>
          <w:kern w:val="44"/>
          <w:sz w:val="28"/>
          <w:szCs w:val="28"/>
        </w:rPr>
        <w:t>6</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"_Toc514" </w:instrText>
      </w:r>
      <w:r>
        <w:fldChar w:fldCharType="separate"/>
      </w:r>
      <w:r>
        <w:rPr>
          <w:rFonts w:hint="eastAsia" w:ascii="仿宋_GB2312" w:hAnsi="仿宋_GB2312" w:eastAsia="仿宋_GB2312" w:cs="仿宋_GB2312"/>
          <w:kern w:val="44"/>
          <w:sz w:val="28"/>
          <w:szCs w:val="28"/>
        </w:rPr>
        <w:t>（二）课程设置及要求</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_Toc514 </w:instrText>
      </w:r>
      <w:r>
        <w:rPr>
          <w:rFonts w:eastAsia="仿宋_GB2312"/>
          <w:kern w:val="44"/>
          <w:sz w:val="28"/>
          <w:szCs w:val="28"/>
        </w:rPr>
        <w:fldChar w:fldCharType="separate"/>
      </w:r>
      <w:r>
        <w:rPr>
          <w:rFonts w:eastAsia="仿宋_GB2312"/>
          <w:kern w:val="44"/>
          <w:sz w:val="28"/>
          <w:szCs w:val="28"/>
        </w:rPr>
        <w:t>7</w:t>
      </w:r>
      <w:r>
        <w:rPr>
          <w:rFonts w:eastAsia="仿宋_GB2312"/>
          <w:kern w:val="44"/>
          <w:sz w:val="28"/>
          <w:szCs w:val="28"/>
        </w:rPr>
        <w:fldChar w:fldCharType="end"/>
      </w:r>
      <w:r>
        <w:rPr>
          <w:rFonts w:eastAsia="仿宋_GB2312"/>
          <w:kern w:val="44"/>
          <w:sz w:val="28"/>
          <w:szCs w:val="28"/>
        </w:rPr>
        <w:fldChar w:fldCharType="end"/>
      </w:r>
    </w:p>
    <w:p>
      <w:pPr>
        <w:pStyle w:val="6"/>
        <w:tabs>
          <w:tab w:val="right" w:leader="dot" w:pos="9638"/>
        </w:tabs>
        <w:spacing w:line="500" w:lineRule="exact"/>
        <w:rPr>
          <w:rFonts w:eastAsia="仿宋_GB2312"/>
          <w:kern w:val="44"/>
          <w:sz w:val="28"/>
          <w:szCs w:val="28"/>
        </w:rPr>
      </w:pPr>
      <w:r>
        <w:fldChar w:fldCharType="begin"/>
      </w:r>
      <w:r>
        <w:instrText xml:space="preserve"> HYPERLINK \l "_Toc17259" </w:instrText>
      </w:r>
      <w:r>
        <w:fldChar w:fldCharType="separate"/>
      </w:r>
      <w:r>
        <w:rPr>
          <w:rFonts w:hint="eastAsia" w:ascii="仿宋_GB2312" w:hAnsi="仿宋_GB2312" w:eastAsia="仿宋_GB2312" w:cs="仿宋_GB2312"/>
          <w:kern w:val="44"/>
          <w:sz w:val="28"/>
          <w:szCs w:val="28"/>
        </w:rPr>
        <w:t>七、教学进程总体安排</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_Toc17259 </w:instrText>
      </w:r>
      <w:r>
        <w:rPr>
          <w:rFonts w:eastAsia="仿宋_GB2312"/>
          <w:kern w:val="44"/>
          <w:sz w:val="28"/>
          <w:szCs w:val="28"/>
        </w:rPr>
        <w:fldChar w:fldCharType="separate"/>
      </w:r>
      <w:r>
        <w:rPr>
          <w:rFonts w:eastAsia="仿宋_GB2312"/>
          <w:kern w:val="44"/>
          <w:sz w:val="28"/>
          <w:szCs w:val="28"/>
        </w:rPr>
        <w:t>11</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"_Toc13699" </w:instrText>
      </w:r>
      <w:r>
        <w:fldChar w:fldCharType="separate"/>
      </w:r>
      <w:r>
        <w:rPr>
          <w:rFonts w:hint="eastAsia" w:ascii="仿宋_GB2312" w:hAnsi="仿宋_GB2312" w:eastAsia="仿宋_GB2312" w:cs="仿宋_GB2312"/>
          <w:kern w:val="44"/>
          <w:sz w:val="28"/>
          <w:szCs w:val="28"/>
        </w:rPr>
        <w:t>（一）基本要求</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_Toc13699 </w:instrText>
      </w:r>
      <w:r>
        <w:rPr>
          <w:rFonts w:eastAsia="仿宋_GB2312"/>
          <w:kern w:val="44"/>
          <w:sz w:val="28"/>
          <w:szCs w:val="28"/>
        </w:rPr>
        <w:fldChar w:fldCharType="separate"/>
      </w:r>
      <w:r>
        <w:rPr>
          <w:rFonts w:eastAsia="仿宋_GB2312"/>
          <w:kern w:val="44"/>
          <w:sz w:val="28"/>
          <w:szCs w:val="28"/>
        </w:rPr>
        <w:t>11</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"_Toc29230" </w:instrText>
      </w:r>
      <w:r>
        <w:fldChar w:fldCharType="separate"/>
      </w:r>
      <w:r>
        <w:rPr>
          <w:rFonts w:hint="eastAsia" w:ascii="仿宋_GB2312" w:hAnsi="仿宋_GB2312" w:eastAsia="仿宋_GB2312" w:cs="仿宋_GB2312"/>
          <w:kern w:val="44"/>
          <w:sz w:val="28"/>
          <w:szCs w:val="28"/>
        </w:rPr>
        <w:t>（二）教学进度安排</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_Toc29230 </w:instrText>
      </w:r>
      <w:r>
        <w:rPr>
          <w:rFonts w:eastAsia="仿宋_GB2312"/>
          <w:kern w:val="44"/>
          <w:sz w:val="28"/>
          <w:szCs w:val="28"/>
        </w:rPr>
        <w:fldChar w:fldCharType="separate"/>
      </w:r>
      <w:r>
        <w:rPr>
          <w:rFonts w:eastAsia="仿宋_GB2312"/>
          <w:kern w:val="44"/>
          <w:sz w:val="28"/>
          <w:szCs w:val="28"/>
        </w:rPr>
        <w:t>12</w:t>
      </w:r>
      <w:r>
        <w:rPr>
          <w:rFonts w:eastAsia="仿宋_GB2312"/>
          <w:kern w:val="44"/>
          <w:sz w:val="28"/>
          <w:szCs w:val="28"/>
        </w:rPr>
        <w:fldChar w:fldCharType="end"/>
      </w:r>
      <w:r>
        <w:rPr>
          <w:rFonts w:eastAsia="仿宋_GB2312"/>
          <w:kern w:val="44"/>
          <w:sz w:val="28"/>
          <w:szCs w:val="28"/>
        </w:rPr>
        <w:fldChar w:fldCharType="end"/>
      </w:r>
    </w:p>
    <w:p>
      <w:pPr>
        <w:pStyle w:val="6"/>
        <w:tabs>
          <w:tab w:val="right" w:leader="dot" w:pos="9638"/>
        </w:tabs>
        <w:spacing w:line="500" w:lineRule="exact"/>
        <w:rPr>
          <w:rFonts w:eastAsia="仿宋_GB2312"/>
          <w:kern w:val="44"/>
          <w:sz w:val="28"/>
          <w:szCs w:val="28"/>
        </w:rPr>
      </w:pPr>
      <w:r>
        <w:fldChar w:fldCharType="begin"/>
      </w:r>
      <w:r>
        <w:instrText xml:space="preserve"> HYPERLINK \l "_Toc8584" </w:instrText>
      </w:r>
      <w:r>
        <w:fldChar w:fldCharType="separate"/>
      </w:r>
      <w:r>
        <w:rPr>
          <w:rFonts w:hint="eastAsia" w:ascii="仿宋_GB2312" w:hAnsi="仿宋_GB2312" w:eastAsia="仿宋_GB2312" w:cs="仿宋_GB2312"/>
          <w:kern w:val="44"/>
          <w:sz w:val="28"/>
          <w:szCs w:val="28"/>
        </w:rPr>
        <w:t>八、实施保障</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_Toc8584 </w:instrText>
      </w:r>
      <w:r>
        <w:rPr>
          <w:rFonts w:eastAsia="仿宋_GB2312"/>
          <w:kern w:val="44"/>
          <w:sz w:val="28"/>
          <w:szCs w:val="28"/>
        </w:rPr>
        <w:fldChar w:fldCharType="separate"/>
      </w:r>
      <w:r>
        <w:rPr>
          <w:rFonts w:eastAsia="仿宋_GB2312"/>
          <w:kern w:val="44"/>
          <w:sz w:val="28"/>
          <w:szCs w:val="28"/>
        </w:rPr>
        <w:t>13</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"_Toc18651" </w:instrText>
      </w:r>
      <w:r>
        <w:fldChar w:fldCharType="separate"/>
      </w:r>
      <w:r>
        <w:rPr>
          <w:rFonts w:hint="eastAsia" w:ascii="仿宋_GB2312" w:hAnsi="仿宋_GB2312" w:eastAsia="仿宋_GB2312" w:cs="仿宋_GB2312"/>
          <w:kern w:val="44"/>
          <w:sz w:val="28"/>
          <w:szCs w:val="28"/>
        </w:rPr>
        <w:t>（一）</w:t>
      </w:r>
      <w:r>
        <w:rPr>
          <w:rFonts w:hint="eastAsia" w:ascii="仿宋_GB2312" w:hAnsi="仿宋_GB2312" w:eastAsia="仿宋_GB2312" w:cs="仿宋_GB2312"/>
          <w:kern w:val="44"/>
          <w:sz w:val="28"/>
          <w:szCs w:val="28"/>
          <w:lang w:val="zh-CN"/>
        </w:rPr>
        <w:t>师</w:t>
      </w:r>
      <w:r>
        <w:rPr>
          <w:rFonts w:hint="eastAsia" w:ascii="仿宋_GB2312" w:hAnsi="仿宋_GB2312" w:eastAsia="仿宋_GB2312" w:cs="仿宋_GB2312"/>
          <w:kern w:val="44"/>
          <w:sz w:val="28"/>
          <w:szCs w:val="28"/>
        </w:rPr>
        <w:t>资队伍</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_Toc18651 </w:instrText>
      </w:r>
      <w:r>
        <w:rPr>
          <w:rFonts w:eastAsia="仿宋_GB2312"/>
          <w:kern w:val="44"/>
          <w:sz w:val="28"/>
          <w:szCs w:val="28"/>
        </w:rPr>
        <w:fldChar w:fldCharType="separate"/>
      </w:r>
      <w:r>
        <w:rPr>
          <w:rFonts w:eastAsia="仿宋_GB2312"/>
          <w:kern w:val="44"/>
          <w:sz w:val="28"/>
          <w:szCs w:val="28"/>
        </w:rPr>
        <w:t>13</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"_Toc17009" </w:instrText>
      </w:r>
      <w:r>
        <w:fldChar w:fldCharType="separate"/>
      </w:r>
      <w:r>
        <w:rPr>
          <w:rFonts w:hint="eastAsia" w:ascii="仿宋_GB2312" w:hAnsi="仿宋_GB2312" w:eastAsia="仿宋_GB2312" w:cs="仿宋_GB2312"/>
          <w:kern w:val="44"/>
          <w:sz w:val="28"/>
          <w:szCs w:val="28"/>
        </w:rPr>
        <w:t>（二）</w:t>
      </w:r>
      <w:r>
        <w:rPr>
          <w:rFonts w:hint="eastAsia" w:ascii="仿宋_GB2312" w:hAnsi="仿宋_GB2312" w:eastAsia="仿宋_GB2312" w:cs="仿宋_GB2312"/>
          <w:kern w:val="44"/>
          <w:sz w:val="28"/>
          <w:szCs w:val="28"/>
          <w:lang w:val="zh-CN"/>
        </w:rPr>
        <w:t>教</w:t>
      </w:r>
      <w:r>
        <w:rPr>
          <w:rFonts w:hint="eastAsia" w:ascii="仿宋_GB2312" w:hAnsi="仿宋_GB2312" w:eastAsia="仿宋_GB2312" w:cs="仿宋_GB2312"/>
          <w:kern w:val="44"/>
          <w:sz w:val="28"/>
          <w:szCs w:val="28"/>
        </w:rPr>
        <w:t>学设施</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_Toc17009 </w:instrText>
      </w:r>
      <w:r>
        <w:rPr>
          <w:rFonts w:eastAsia="仿宋_GB2312"/>
          <w:kern w:val="44"/>
          <w:sz w:val="28"/>
          <w:szCs w:val="28"/>
        </w:rPr>
        <w:fldChar w:fldCharType="separate"/>
      </w:r>
      <w:r>
        <w:rPr>
          <w:rFonts w:eastAsia="仿宋_GB2312"/>
          <w:kern w:val="44"/>
          <w:sz w:val="28"/>
          <w:szCs w:val="28"/>
        </w:rPr>
        <w:t>14</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"_Toc6129" </w:instrText>
      </w:r>
      <w:r>
        <w:fldChar w:fldCharType="separate"/>
      </w:r>
      <w:r>
        <w:rPr>
          <w:rFonts w:hint="eastAsia" w:ascii="仿宋_GB2312" w:hAnsi="仿宋_GB2312" w:eastAsia="仿宋_GB2312" w:cs="仿宋_GB2312"/>
          <w:kern w:val="44"/>
          <w:sz w:val="28"/>
          <w:szCs w:val="28"/>
        </w:rPr>
        <w:t>（三）</w:t>
      </w:r>
      <w:r>
        <w:rPr>
          <w:rFonts w:hint="eastAsia" w:ascii="仿宋_GB2312" w:hAnsi="仿宋_GB2312" w:eastAsia="仿宋_GB2312" w:cs="仿宋_GB2312"/>
          <w:kern w:val="44"/>
          <w:sz w:val="28"/>
          <w:szCs w:val="28"/>
          <w:lang w:val="zh-CN"/>
        </w:rPr>
        <w:t>教</w:t>
      </w:r>
      <w:r>
        <w:rPr>
          <w:rFonts w:hint="eastAsia" w:ascii="仿宋_GB2312" w:hAnsi="仿宋_GB2312" w:eastAsia="仿宋_GB2312" w:cs="仿宋_GB2312"/>
          <w:kern w:val="44"/>
          <w:sz w:val="28"/>
          <w:szCs w:val="28"/>
        </w:rPr>
        <w:t>学资源</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_Toc6129 </w:instrText>
      </w:r>
      <w:r>
        <w:rPr>
          <w:rFonts w:eastAsia="仿宋_GB2312"/>
          <w:kern w:val="44"/>
          <w:sz w:val="28"/>
          <w:szCs w:val="28"/>
        </w:rPr>
        <w:fldChar w:fldCharType="separate"/>
      </w:r>
      <w:r>
        <w:rPr>
          <w:rFonts w:eastAsia="仿宋_GB2312"/>
          <w:kern w:val="44"/>
          <w:sz w:val="28"/>
          <w:szCs w:val="28"/>
        </w:rPr>
        <w:t>16</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"_Toc24027" </w:instrText>
      </w:r>
      <w:r>
        <w:fldChar w:fldCharType="separate"/>
      </w:r>
      <w:r>
        <w:rPr>
          <w:rFonts w:hint="eastAsia" w:ascii="仿宋_GB2312" w:hAnsi="仿宋_GB2312" w:eastAsia="仿宋_GB2312" w:cs="仿宋_GB2312"/>
          <w:kern w:val="44"/>
          <w:sz w:val="28"/>
          <w:szCs w:val="28"/>
        </w:rPr>
        <w:t>（四）</w:t>
      </w:r>
      <w:r>
        <w:rPr>
          <w:rFonts w:hint="eastAsia" w:ascii="仿宋_GB2312" w:hAnsi="仿宋_GB2312" w:eastAsia="仿宋_GB2312" w:cs="仿宋_GB2312"/>
          <w:kern w:val="44"/>
          <w:sz w:val="28"/>
          <w:szCs w:val="28"/>
          <w:lang w:val="zh-CN"/>
        </w:rPr>
        <w:t>教</w:t>
      </w:r>
      <w:r>
        <w:rPr>
          <w:rFonts w:hint="eastAsia" w:ascii="仿宋_GB2312" w:hAnsi="仿宋_GB2312" w:eastAsia="仿宋_GB2312" w:cs="仿宋_GB2312"/>
          <w:kern w:val="44"/>
          <w:sz w:val="28"/>
          <w:szCs w:val="28"/>
        </w:rPr>
        <w:t>学方法</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_Toc24027 </w:instrText>
      </w:r>
      <w:r>
        <w:rPr>
          <w:rFonts w:eastAsia="仿宋_GB2312"/>
          <w:kern w:val="44"/>
          <w:sz w:val="28"/>
          <w:szCs w:val="28"/>
        </w:rPr>
        <w:fldChar w:fldCharType="separate"/>
      </w:r>
      <w:r>
        <w:rPr>
          <w:rFonts w:eastAsia="仿宋_GB2312"/>
          <w:kern w:val="44"/>
          <w:sz w:val="28"/>
          <w:szCs w:val="28"/>
        </w:rPr>
        <w:t>17</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"_Toc20812" </w:instrText>
      </w:r>
      <w:r>
        <w:fldChar w:fldCharType="separate"/>
      </w:r>
      <w:r>
        <w:rPr>
          <w:rFonts w:hint="eastAsia" w:ascii="仿宋_GB2312" w:hAnsi="仿宋_GB2312" w:eastAsia="仿宋_GB2312" w:cs="仿宋_GB2312"/>
          <w:kern w:val="44"/>
          <w:sz w:val="28"/>
          <w:szCs w:val="28"/>
        </w:rPr>
        <w:t>（五）学习评价</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_Toc20812 </w:instrText>
      </w:r>
      <w:r>
        <w:rPr>
          <w:rFonts w:eastAsia="仿宋_GB2312"/>
          <w:kern w:val="44"/>
          <w:sz w:val="28"/>
          <w:szCs w:val="28"/>
        </w:rPr>
        <w:fldChar w:fldCharType="separate"/>
      </w:r>
      <w:r>
        <w:rPr>
          <w:rFonts w:eastAsia="仿宋_GB2312"/>
          <w:kern w:val="44"/>
          <w:sz w:val="28"/>
          <w:szCs w:val="28"/>
        </w:rPr>
        <w:t>17</w:t>
      </w:r>
      <w:r>
        <w:rPr>
          <w:rFonts w:eastAsia="仿宋_GB2312"/>
          <w:kern w:val="44"/>
          <w:sz w:val="28"/>
          <w:szCs w:val="28"/>
        </w:rPr>
        <w:fldChar w:fldCharType="end"/>
      </w:r>
      <w:r>
        <w:rPr>
          <w:rFonts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"_Toc7712" </w:instrText>
      </w:r>
      <w:r>
        <w:fldChar w:fldCharType="separate"/>
      </w:r>
      <w:r>
        <w:rPr>
          <w:rFonts w:hint="eastAsia" w:ascii="仿宋_GB2312" w:hAnsi="仿宋_GB2312" w:eastAsia="仿宋_GB2312" w:cs="仿宋_GB2312"/>
          <w:kern w:val="44"/>
          <w:sz w:val="28"/>
          <w:szCs w:val="28"/>
        </w:rPr>
        <w:t>（六）质量管理</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_Toc7712 </w:instrText>
      </w:r>
      <w:r>
        <w:rPr>
          <w:rFonts w:eastAsia="仿宋_GB2312"/>
          <w:kern w:val="44"/>
          <w:sz w:val="28"/>
          <w:szCs w:val="28"/>
        </w:rPr>
        <w:fldChar w:fldCharType="separate"/>
      </w:r>
      <w:r>
        <w:rPr>
          <w:rFonts w:eastAsia="仿宋_GB2312"/>
          <w:kern w:val="44"/>
          <w:sz w:val="28"/>
          <w:szCs w:val="28"/>
        </w:rPr>
        <w:t>18</w:t>
      </w:r>
      <w:r>
        <w:rPr>
          <w:rFonts w:eastAsia="仿宋_GB2312"/>
          <w:kern w:val="44"/>
          <w:sz w:val="28"/>
          <w:szCs w:val="28"/>
        </w:rPr>
        <w:fldChar w:fldCharType="end"/>
      </w:r>
      <w:r>
        <w:rPr>
          <w:rFonts w:eastAsia="仿宋_GB2312"/>
          <w:kern w:val="44"/>
          <w:sz w:val="28"/>
          <w:szCs w:val="28"/>
        </w:rPr>
        <w:fldChar w:fldCharType="end"/>
      </w:r>
    </w:p>
    <w:p>
      <w:pPr>
        <w:pStyle w:val="6"/>
        <w:tabs>
          <w:tab w:val="right" w:leader="dot" w:pos="9638"/>
        </w:tabs>
        <w:spacing w:line="500" w:lineRule="exact"/>
        <w:rPr>
          <w:rFonts w:eastAsia="仿宋_GB2312"/>
          <w:kern w:val="44"/>
          <w:sz w:val="28"/>
          <w:szCs w:val="28"/>
        </w:rPr>
      </w:pPr>
      <w:r>
        <w:fldChar w:fldCharType="begin"/>
      </w:r>
      <w:r>
        <w:instrText xml:space="preserve"> HYPERLINK \l "_Toc7713" </w:instrText>
      </w:r>
      <w:r>
        <w:fldChar w:fldCharType="separate"/>
      </w:r>
      <w:r>
        <w:rPr>
          <w:rFonts w:hint="eastAsia" w:ascii="仿宋_GB2312" w:hAnsi="仿宋_GB2312" w:eastAsia="仿宋_GB2312" w:cs="仿宋_GB2312"/>
          <w:kern w:val="44"/>
          <w:sz w:val="28"/>
          <w:szCs w:val="28"/>
        </w:rPr>
        <w:t>九、毕业要求</w:t>
      </w:r>
      <w:r>
        <w:rPr>
          <w:rFonts w:eastAsia="仿宋_GB2312"/>
          <w:kern w:val="44"/>
          <w:sz w:val="28"/>
          <w:szCs w:val="28"/>
        </w:rPr>
        <w:tab/>
      </w:r>
      <w:r>
        <w:rPr>
          <w:rFonts w:eastAsia="仿宋_GB2312"/>
          <w:kern w:val="44"/>
          <w:sz w:val="28"/>
          <w:szCs w:val="28"/>
        </w:rPr>
        <w:fldChar w:fldCharType="begin"/>
      </w:r>
      <w:r>
        <w:rPr>
          <w:rFonts w:eastAsia="仿宋_GB2312"/>
          <w:kern w:val="44"/>
          <w:sz w:val="28"/>
          <w:szCs w:val="28"/>
        </w:rPr>
        <w:instrText xml:space="preserve"> PAGEREF _Toc7713 </w:instrText>
      </w:r>
      <w:r>
        <w:rPr>
          <w:rFonts w:eastAsia="仿宋_GB2312"/>
          <w:kern w:val="44"/>
          <w:sz w:val="28"/>
          <w:szCs w:val="28"/>
        </w:rPr>
        <w:fldChar w:fldCharType="separate"/>
      </w:r>
      <w:r>
        <w:rPr>
          <w:rFonts w:eastAsia="仿宋_GB2312"/>
          <w:kern w:val="44"/>
          <w:sz w:val="28"/>
          <w:szCs w:val="28"/>
        </w:rPr>
        <w:t>19</w:t>
      </w:r>
      <w:r>
        <w:rPr>
          <w:rFonts w:eastAsia="仿宋_GB2312"/>
          <w:kern w:val="44"/>
          <w:sz w:val="28"/>
          <w:szCs w:val="28"/>
        </w:rPr>
        <w:fldChar w:fldCharType="end"/>
      </w:r>
      <w:r>
        <w:rPr>
          <w:rFonts w:eastAsia="仿宋_GB2312"/>
          <w:kern w:val="44"/>
          <w:sz w:val="28"/>
          <w:szCs w:val="28"/>
        </w:rPr>
        <w:fldChar w:fldCharType="end"/>
      </w:r>
    </w:p>
    <w:p>
      <w:pPr>
        <w:pStyle w:val="6"/>
        <w:tabs>
          <w:tab w:val="right" w:leader="dot" w:pos="9638"/>
        </w:tabs>
        <w:spacing w:line="500" w:lineRule="exact"/>
        <w:rPr>
          <w:rFonts w:eastAsia="仿宋_GB2312"/>
          <w:kern w:val="44"/>
          <w:sz w:val="28"/>
          <w:szCs w:val="28"/>
        </w:rPr>
      </w:pPr>
      <w:r>
        <w:fldChar w:fldCharType="begin"/>
      </w:r>
      <w:r>
        <w:instrText xml:space="preserve"> HYPERLINK \l "_Toc5845" </w:instrText>
      </w:r>
      <w:r>
        <w:fldChar w:fldCharType="separate"/>
      </w:r>
      <w:r>
        <w:rPr>
          <w:rFonts w:hint="eastAsia" w:ascii="仿宋_GB2312" w:hAnsi="仿宋_GB2312" w:eastAsia="仿宋_GB2312" w:cs="仿宋_GB2312"/>
          <w:kern w:val="44"/>
          <w:sz w:val="28"/>
          <w:szCs w:val="28"/>
        </w:rPr>
        <w:t>十、其他</w:t>
      </w:r>
      <w:r>
        <w:rPr>
          <w:rFonts w:eastAsia="仿宋_GB2312"/>
          <w:kern w:val="44"/>
          <w:sz w:val="28"/>
          <w:szCs w:val="28"/>
        </w:rPr>
        <w:tab/>
      </w:r>
      <w:r>
        <w:rPr>
          <w:rFonts w:hint="eastAsia" w:eastAsia="仿宋_GB2312"/>
          <w:kern w:val="44"/>
          <w:sz w:val="28"/>
          <w:szCs w:val="28"/>
        </w:rPr>
        <w:t>20</w:t>
      </w:r>
      <w:r>
        <w:rPr>
          <w:rFonts w:hint="eastAsia"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"_Toc32256" </w:instrText>
      </w:r>
      <w:r>
        <w:fldChar w:fldCharType="separate"/>
      </w:r>
      <w:r>
        <w:rPr>
          <w:rFonts w:hint="eastAsia" w:ascii="仿宋_GB2312" w:hAnsi="仿宋_GB2312" w:eastAsia="仿宋_GB2312" w:cs="仿宋_GB2312"/>
          <w:kern w:val="44"/>
          <w:sz w:val="28"/>
          <w:szCs w:val="28"/>
        </w:rPr>
        <w:t>（一）编写依据</w:t>
      </w:r>
      <w:r>
        <w:rPr>
          <w:rFonts w:eastAsia="仿宋_GB2312"/>
          <w:kern w:val="44"/>
          <w:sz w:val="28"/>
          <w:szCs w:val="28"/>
        </w:rPr>
        <w:tab/>
      </w:r>
      <w:r>
        <w:rPr>
          <w:rFonts w:hint="eastAsia" w:eastAsia="仿宋_GB2312"/>
          <w:kern w:val="44"/>
          <w:sz w:val="28"/>
          <w:szCs w:val="28"/>
        </w:rPr>
        <w:t>20</w:t>
      </w:r>
      <w:r>
        <w:rPr>
          <w:rFonts w:hint="eastAsia"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"_Toc25178" </w:instrText>
      </w:r>
      <w:r>
        <w:fldChar w:fldCharType="separate"/>
      </w:r>
      <w:r>
        <w:rPr>
          <w:rFonts w:hint="eastAsia" w:ascii="仿宋_GB2312" w:hAnsi="仿宋_GB2312" w:eastAsia="仿宋_GB2312" w:cs="仿宋_GB2312"/>
          <w:kern w:val="44"/>
          <w:sz w:val="28"/>
          <w:szCs w:val="28"/>
        </w:rPr>
        <w:t>（二）适用范围</w:t>
      </w:r>
      <w:r>
        <w:rPr>
          <w:rFonts w:eastAsia="仿宋_GB2312"/>
          <w:kern w:val="44"/>
          <w:sz w:val="28"/>
          <w:szCs w:val="28"/>
        </w:rPr>
        <w:tab/>
      </w:r>
      <w:r>
        <w:rPr>
          <w:rFonts w:hint="eastAsia" w:eastAsia="仿宋_GB2312"/>
          <w:kern w:val="44"/>
          <w:sz w:val="28"/>
          <w:szCs w:val="28"/>
        </w:rPr>
        <w:t>20</w:t>
      </w:r>
      <w:r>
        <w:rPr>
          <w:rFonts w:hint="eastAsia" w:eastAsia="仿宋_GB2312"/>
          <w:kern w:val="44"/>
          <w:sz w:val="28"/>
          <w:szCs w:val="28"/>
        </w:rPr>
        <w:fldChar w:fldCharType="end"/>
      </w:r>
    </w:p>
    <w:p>
      <w:pPr>
        <w:pStyle w:val="7"/>
        <w:tabs>
          <w:tab w:val="right" w:leader="dot" w:pos="9638"/>
        </w:tabs>
        <w:spacing w:line="500" w:lineRule="exact"/>
        <w:rPr>
          <w:rFonts w:eastAsia="仿宋_GB2312"/>
          <w:kern w:val="44"/>
          <w:sz w:val="28"/>
          <w:szCs w:val="28"/>
        </w:rPr>
      </w:pPr>
      <w:r>
        <w:fldChar w:fldCharType="begin"/>
      </w:r>
      <w:r>
        <w:instrText xml:space="preserve"> HYPERLINK \l "_Toc32432" </w:instrText>
      </w:r>
      <w:r>
        <w:fldChar w:fldCharType="separate"/>
      </w:r>
      <w:r>
        <w:rPr>
          <w:rFonts w:hint="eastAsia" w:ascii="仿宋_GB2312" w:hAnsi="仿宋_GB2312" w:eastAsia="仿宋_GB2312" w:cs="仿宋_GB2312"/>
          <w:kern w:val="44"/>
          <w:sz w:val="28"/>
          <w:szCs w:val="28"/>
        </w:rPr>
        <w:t>（三）修订原则</w:t>
      </w:r>
      <w:r>
        <w:rPr>
          <w:rFonts w:eastAsia="仿宋_GB2312"/>
          <w:kern w:val="44"/>
          <w:sz w:val="28"/>
          <w:szCs w:val="28"/>
        </w:rPr>
        <w:tab/>
      </w:r>
      <w:r>
        <w:rPr>
          <w:rFonts w:hint="eastAsia" w:eastAsia="仿宋_GB2312"/>
          <w:kern w:val="44"/>
          <w:sz w:val="28"/>
          <w:szCs w:val="28"/>
        </w:rPr>
        <w:t>20</w:t>
      </w:r>
      <w:r>
        <w:rPr>
          <w:rFonts w:hint="eastAsia" w:eastAsia="仿宋_GB2312"/>
          <w:kern w:val="44"/>
          <w:sz w:val="28"/>
          <w:szCs w:val="28"/>
        </w:rPr>
        <w:fldChar w:fldCharType="end"/>
      </w:r>
    </w:p>
    <w:p>
      <w:pPr>
        <w:pStyle w:val="2"/>
        <w:spacing w:line="500" w:lineRule="exact"/>
        <w:rPr>
          <w:rFonts w:ascii="仿宋_GB2312" w:hAnsi="仿宋_GB2312" w:eastAsia="仿宋_GB2312" w:cs="仿宋_GB2312"/>
          <w:sz w:val="28"/>
          <w:szCs w:val="28"/>
        </w:rPr>
        <w:sectPr>
          <w:footerReference r:id="rId3" w:type="default"/>
          <w:pgSz w:w="11906" w:h="16838"/>
          <w:pgMar w:top="1134" w:right="1134" w:bottom="1134" w:left="1134" w:header="851" w:footer="992" w:gutter="0"/>
          <w:pgNumType w:fmt="decimal" w:start="1"/>
          <w:cols w:space="0" w:num="1"/>
          <w:docGrid w:type="lines" w:linePitch="312" w:charSpace="0"/>
        </w:sectPr>
      </w:pPr>
    </w:p>
    <w:p>
      <w:pPr>
        <w:pStyle w:val="2"/>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rPr>
      </w:pPr>
      <w:r>
        <w:rPr>
          <w:rFonts w:hint="eastAsia" w:ascii="仿宋_GB2312" w:hAnsi="仿宋_GB2312" w:eastAsia="仿宋_GB2312" w:cs="仿宋_GB2312"/>
          <w:sz w:val="28"/>
          <w:szCs w:val="28"/>
        </w:rPr>
        <w:fldChar w:fldCharType="end"/>
      </w:r>
      <w:bookmarkStart w:id="0" w:name="_Toc29315"/>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32"/>
          <w:szCs w:val="32"/>
        </w:rPr>
        <w:t>一、专业名称（专业</w:t>
      </w:r>
      <w:r>
        <w:rPr>
          <w:rFonts w:hint="eastAsia" w:ascii="仿宋_GB2312" w:hAnsi="仿宋_GB2312" w:cs="仿宋_GB2312"/>
          <w:sz w:val="32"/>
          <w:szCs w:val="32"/>
        </w:rPr>
        <w:t>代码</w:t>
      </w:r>
      <w:r>
        <w:rPr>
          <w:rFonts w:hint="eastAsia" w:ascii="仿宋_GB2312" w:hAnsi="仿宋_GB2312" w:eastAsia="仿宋_GB2312" w:cs="仿宋_GB2312"/>
          <w:sz w:val="32"/>
          <w:szCs w:val="32"/>
        </w:rPr>
        <w:t>）</w:t>
      </w:r>
      <w:bookmarkEnd w:id="0"/>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专业名称：汽车服务与营销</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专业代码：700205</w:t>
      </w:r>
    </w:p>
    <w:p>
      <w:pPr>
        <w:pStyle w:val="2"/>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bookmarkStart w:id="1" w:name="bookmark10"/>
      <w:bookmarkStart w:id="2" w:name="bookmark11"/>
      <w:bookmarkStart w:id="3" w:name="_Toc27310"/>
      <w:bookmarkStart w:id="4" w:name="_Toc15543"/>
      <w:bookmarkStart w:id="5" w:name="_Toc14981"/>
      <w:bookmarkStart w:id="6" w:name="bookmark8"/>
      <w:bookmarkStart w:id="7" w:name="bookmark9"/>
      <w:bookmarkStart w:id="8" w:name="_Toc27097"/>
      <w:r>
        <w:rPr>
          <w:rFonts w:hint="eastAsia" w:ascii="仿宋_GB2312" w:hAnsi="仿宋_GB2312" w:eastAsia="仿宋_GB2312" w:cs="仿宋_GB2312"/>
          <w:sz w:val="32"/>
          <w:szCs w:val="32"/>
        </w:rPr>
        <w:t>二</w:t>
      </w:r>
      <w:bookmarkEnd w:id="1"/>
      <w:r>
        <w:rPr>
          <w:rFonts w:hint="eastAsia" w:ascii="仿宋_GB2312" w:hAnsi="仿宋_GB2312" w:eastAsia="仿宋_GB2312" w:cs="仿宋_GB2312"/>
          <w:sz w:val="32"/>
          <w:szCs w:val="32"/>
        </w:rPr>
        <w:t>、入学要求</w:t>
      </w:r>
      <w:bookmarkEnd w:id="2"/>
      <w:bookmarkEnd w:id="3"/>
      <w:bookmarkEnd w:id="4"/>
      <w:bookmarkEnd w:id="5"/>
      <w:bookmarkEnd w:id="6"/>
      <w:bookmarkEnd w:id="7"/>
      <w:bookmarkEnd w:id="8"/>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初中毕业或具有同等及以上学力者</w:t>
      </w:r>
    </w:p>
    <w:p>
      <w:pPr>
        <w:pStyle w:val="2"/>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bookmarkStart w:id="9" w:name="bookmark14"/>
      <w:bookmarkStart w:id="10" w:name="_Toc26669"/>
      <w:bookmarkStart w:id="11" w:name="bookmark13"/>
      <w:bookmarkStart w:id="12" w:name="_Toc3197"/>
      <w:bookmarkStart w:id="13" w:name="bookmark12"/>
      <w:bookmarkStart w:id="14" w:name="_Toc14218"/>
      <w:bookmarkStart w:id="15" w:name="_Toc29084"/>
      <w:bookmarkStart w:id="16" w:name="bookmark15"/>
      <w:r>
        <w:rPr>
          <w:rFonts w:hint="eastAsia" w:ascii="仿宋_GB2312" w:hAnsi="仿宋_GB2312" w:eastAsia="仿宋_GB2312" w:cs="仿宋_GB2312"/>
          <w:sz w:val="32"/>
          <w:szCs w:val="32"/>
        </w:rPr>
        <w:t>三</w:t>
      </w:r>
      <w:bookmarkEnd w:id="9"/>
      <w:r>
        <w:rPr>
          <w:rFonts w:hint="eastAsia" w:ascii="仿宋_GB2312" w:hAnsi="仿宋_GB2312" w:eastAsia="仿宋_GB2312" w:cs="仿宋_GB2312"/>
          <w:sz w:val="32"/>
          <w:szCs w:val="32"/>
        </w:rPr>
        <w:t>、修业年限</w:t>
      </w:r>
      <w:bookmarkEnd w:id="10"/>
      <w:bookmarkEnd w:id="11"/>
      <w:bookmarkEnd w:id="12"/>
      <w:bookmarkEnd w:id="13"/>
      <w:bookmarkEnd w:id="14"/>
      <w:bookmarkEnd w:id="15"/>
      <w:bookmarkEnd w:id="16"/>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三年</w:t>
      </w:r>
    </w:p>
    <w:p>
      <w:pPr>
        <w:pStyle w:val="2"/>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bookmarkStart w:id="17" w:name="bookmark16"/>
      <w:bookmarkStart w:id="18" w:name="_Toc22514"/>
      <w:bookmarkStart w:id="19" w:name="_Toc25014"/>
      <w:bookmarkStart w:id="20" w:name="_Toc12939"/>
      <w:bookmarkStart w:id="21" w:name="_Toc29307"/>
      <w:r>
        <w:rPr>
          <w:rFonts w:hint="eastAsia" w:ascii="仿宋_GB2312" w:hAnsi="仿宋_GB2312" w:eastAsia="仿宋_GB2312" w:cs="仿宋_GB2312"/>
          <w:sz w:val="32"/>
          <w:szCs w:val="32"/>
        </w:rPr>
        <w:t>四</w:t>
      </w:r>
      <w:bookmarkEnd w:id="17"/>
      <w:r>
        <w:rPr>
          <w:rFonts w:hint="eastAsia" w:ascii="仿宋_GB2312" w:hAnsi="仿宋_GB2312" w:eastAsia="仿宋_GB2312" w:cs="仿宋_GB2312"/>
          <w:sz w:val="32"/>
          <w:szCs w:val="32"/>
        </w:rPr>
        <w:t>、职业面向和接续专业</w:t>
      </w:r>
      <w:bookmarkEnd w:id="18"/>
      <w:bookmarkEnd w:id="19"/>
      <w:bookmarkEnd w:id="20"/>
      <w:bookmarkEnd w:id="21"/>
    </w:p>
    <w:p>
      <w:pPr>
        <w:pStyle w:val="3"/>
        <w:pageBreakBefore w:val="0"/>
        <w:widowControl w:val="0"/>
        <w:kinsoku/>
        <w:wordWrap/>
        <w:overflowPunct/>
        <w:topLinePunct w:val="0"/>
        <w:autoSpaceDE/>
        <w:autoSpaceDN/>
        <w:bidi w:val="0"/>
        <w:adjustRightInd/>
        <w:snapToGrid/>
        <w:spacing w:line="560" w:lineRule="exact"/>
        <w:ind w:firstLine="562" w:firstLineChars="200"/>
        <w:textAlignment w:val="auto"/>
        <w:rPr>
          <w:rFonts w:ascii="仿宋_GB2312" w:hAnsi="仿宋_GB2312" w:cs="仿宋_GB2312"/>
          <w:szCs w:val="28"/>
        </w:rPr>
      </w:pPr>
      <w:bookmarkStart w:id="22" w:name="_Toc22472"/>
      <w:bookmarkStart w:id="23" w:name="_Toc21411"/>
      <w:bookmarkStart w:id="24" w:name="_Toc31534"/>
      <w:bookmarkStart w:id="25" w:name="_Toc15343"/>
      <w:r>
        <w:rPr>
          <w:rFonts w:hint="eastAsia" w:ascii="仿宋_GB2312" w:hAnsi="仿宋_GB2312" w:cs="仿宋_GB2312"/>
          <w:szCs w:val="28"/>
        </w:rPr>
        <w:t>（一</w:t>
      </w:r>
      <w:r>
        <w:rPr>
          <w:rFonts w:hint="eastAsia" w:ascii="仿宋_GB2312" w:hAnsi="仿宋_GB2312" w:cs="仿宋_GB2312"/>
          <w:szCs w:val="28"/>
          <w:lang w:val="zh-CN"/>
        </w:rPr>
        <w:t>）职</w:t>
      </w:r>
      <w:r>
        <w:rPr>
          <w:rFonts w:hint="eastAsia" w:ascii="仿宋_GB2312" w:hAnsi="仿宋_GB2312" w:cs="仿宋_GB2312"/>
          <w:szCs w:val="28"/>
        </w:rPr>
        <w:t>业面向</w:t>
      </w:r>
      <w:bookmarkEnd w:id="22"/>
      <w:bookmarkEnd w:id="23"/>
      <w:bookmarkEnd w:id="24"/>
      <w:bookmarkEnd w:id="25"/>
    </w:p>
    <w:tbl>
      <w:tblPr>
        <w:tblStyle w:val="10"/>
        <w:tblW w:w="9443" w:type="dxa"/>
        <w:jc w:val="center"/>
        <w:tblLayout w:type="fixed"/>
        <w:tblCellMar>
          <w:top w:w="0" w:type="dxa"/>
          <w:left w:w="10" w:type="dxa"/>
          <w:bottom w:w="0" w:type="dxa"/>
          <w:right w:w="10" w:type="dxa"/>
        </w:tblCellMar>
      </w:tblPr>
      <w:tblGrid>
        <w:gridCol w:w="1098"/>
        <w:gridCol w:w="1417"/>
        <w:gridCol w:w="1417"/>
        <w:gridCol w:w="1417"/>
        <w:gridCol w:w="1701"/>
        <w:gridCol w:w="2393"/>
      </w:tblGrid>
      <w:tr>
        <w:tblPrEx>
          <w:tblCellMar>
            <w:top w:w="0" w:type="dxa"/>
            <w:left w:w="10" w:type="dxa"/>
            <w:bottom w:w="0" w:type="dxa"/>
            <w:right w:w="10" w:type="dxa"/>
          </w:tblCellMar>
        </w:tblPrEx>
        <w:trPr>
          <w:trHeight w:val="985" w:hRule="exact"/>
          <w:jc w:val="center"/>
        </w:trPr>
        <w:tc>
          <w:tcPr>
            <w:tcW w:w="1098" w:type="dxa"/>
            <w:tcBorders>
              <w:top w:val="single" w:color="auto" w:sz="4" w:space="0"/>
              <w:left w:val="single" w:color="auto" w:sz="4" w:space="0"/>
            </w:tcBorders>
            <w:shd w:val="clear" w:color="auto" w:fill="FFFFFF"/>
            <w:vAlign w:val="center"/>
          </w:tcPr>
          <w:p>
            <w:pPr>
              <w:jc w:val="center"/>
              <w:rPr>
                <w:rFonts w:eastAsia="仿宋_GB2312"/>
                <w:szCs w:val="21"/>
              </w:rPr>
            </w:pPr>
            <w:r>
              <w:rPr>
                <w:rFonts w:hint="eastAsia" w:eastAsia="仿宋_GB2312"/>
                <w:szCs w:val="21"/>
              </w:rPr>
              <w:t>所属专业大类及代码</w:t>
            </w:r>
          </w:p>
        </w:tc>
        <w:tc>
          <w:tcPr>
            <w:tcW w:w="1417" w:type="dxa"/>
            <w:tcBorders>
              <w:top w:val="single" w:color="auto" w:sz="4" w:space="0"/>
              <w:left w:val="single" w:color="auto" w:sz="4" w:space="0"/>
            </w:tcBorders>
            <w:shd w:val="clear" w:color="auto" w:fill="FFFFFF"/>
            <w:vAlign w:val="center"/>
          </w:tcPr>
          <w:p>
            <w:pPr>
              <w:jc w:val="center"/>
              <w:rPr>
                <w:rFonts w:eastAsia="仿宋_GB2312"/>
                <w:szCs w:val="21"/>
              </w:rPr>
            </w:pPr>
            <w:r>
              <w:rPr>
                <w:rFonts w:hint="eastAsia" w:eastAsia="仿宋_GB2312"/>
                <w:szCs w:val="21"/>
              </w:rPr>
              <w:t>所属专业类及代码</w:t>
            </w:r>
          </w:p>
        </w:tc>
        <w:tc>
          <w:tcPr>
            <w:tcW w:w="1417" w:type="dxa"/>
            <w:tcBorders>
              <w:top w:val="single" w:color="auto" w:sz="4" w:space="0"/>
              <w:left w:val="single" w:color="auto" w:sz="4" w:space="0"/>
            </w:tcBorders>
            <w:shd w:val="clear" w:color="auto" w:fill="FFFFFF"/>
            <w:vAlign w:val="center"/>
          </w:tcPr>
          <w:p>
            <w:pPr>
              <w:jc w:val="center"/>
              <w:rPr>
                <w:rFonts w:eastAsia="仿宋_GB2312"/>
                <w:szCs w:val="21"/>
              </w:rPr>
            </w:pPr>
            <w:r>
              <w:rPr>
                <w:rFonts w:hint="eastAsia" w:eastAsia="仿宋_GB2312"/>
                <w:szCs w:val="21"/>
              </w:rPr>
              <w:t>对应行业及代码</w:t>
            </w:r>
          </w:p>
        </w:tc>
        <w:tc>
          <w:tcPr>
            <w:tcW w:w="1417" w:type="dxa"/>
            <w:tcBorders>
              <w:top w:val="single" w:color="auto" w:sz="4" w:space="0"/>
              <w:left w:val="single" w:color="auto" w:sz="4" w:space="0"/>
            </w:tcBorders>
            <w:shd w:val="clear" w:color="auto" w:fill="FFFFFF"/>
            <w:vAlign w:val="center"/>
          </w:tcPr>
          <w:p>
            <w:pPr>
              <w:jc w:val="center"/>
              <w:rPr>
                <w:rFonts w:eastAsia="仿宋_GB2312"/>
                <w:szCs w:val="21"/>
              </w:rPr>
            </w:pPr>
            <w:r>
              <w:rPr>
                <w:rFonts w:hint="eastAsia" w:eastAsia="仿宋_GB2312"/>
                <w:szCs w:val="21"/>
              </w:rPr>
              <w:t>主要职业类别及代码</w:t>
            </w:r>
          </w:p>
        </w:tc>
        <w:tc>
          <w:tcPr>
            <w:tcW w:w="1701" w:type="dxa"/>
            <w:tcBorders>
              <w:top w:val="single" w:color="auto" w:sz="4" w:space="0"/>
              <w:left w:val="single" w:color="auto" w:sz="4" w:space="0"/>
            </w:tcBorders>
            <w:shd w:val="clear" w:color="auto" w:fill="FFFFFF"/>
            <w:vAlign w:val="center"/>
          </w:tcPr>
          <w:p>
            <w:pPr>
              <w:jc w:val="center"/>
              <w:rPr>
                <w:rFonts w:eastAsia="仿宋_GB2312"/>
                <w:szCs w:val="21"/>
              </w:rPr>
            </w:pPr>
            <w:r>
              <w:rPr>
                <w:rFonts w:hint="eastAsia" w:eastAsia="仿宋_GB2312"/>
                <w:szCs w:val="21"/>
              </w:rPr>
              <w:t>主要岗位类别（或技术领域）</w:t>
            </w:r>
          </w:p>
        </w:tc>
        <w:tc>
          <w:tcPr>
            <w:tcW w:w="2393" w:type="dxa"/>
            <w:tcBorders>
              <w:top w:val="single" w:color="auto" w:sz="4" w:space="0"/>
              <w:left w:val="single" w:color="auto" w:sz="4" w:space="0"/>
              <w:right w:val="single" w:color="auto" w:sz="4" w:space="0"/>
            </w:tcBorders>
            <w:shd w:val="clear" w:color="auto" w:fill="FFFFFF"/>
            <w:vAlign w:val="center"/>
          </w:tcPr>
          <w:p>
            <w:pPr>
              <w:jc w:val="center"/>
              <w:rPr>
                <w:rFonts w:eastAsia="仿宋_GB2312"/>
                <w:szCs w:val="21"/>
              </w:rPr>
            </w:pPr>
            <w:r>
              <w:rPr>
                <w:rFonts w:hint="eastAsia" w:eastAsia="仿宋_GB2312"/>
                <w:szCs w:val="21"/>
              </w:rPr>
              <w:t>职业技能等级证书、行业企业标准和证书举例</w:t>
            </w:r>
          </w:p>
        </w:tc>
      </w:tr>
      <w:tr>
        <w:tblPrEx>
          <w:tblCellMar>
            <w:top w:w="0" w:type="dxa"/>
            <w:left w:w="10" w:type="dxa"/>
            <w:bottom w:w="0" w:type="dxa"/>
            <w:right w:w="10" w:type="dxa"/>
          </w:tblCellMar>
        </w:tblPrEx>
        <w:trPr>
          <w:trHeight w:val="1314" w:hRule="exact"/>
          <w:jc w:val="center"/>
        </w:trPr>
        <w:tc>
          <w:tcPr>
            <w:tcW w:w="1098" w:type="dxa"/>
            <w:tcBorders>
              <w:top w:val="single" w:color="auto" w:sz="4" w:space="0"/>
              <w:left w:val="single" w:color="auto" w:sz="4" w:space="0"/>
              <w:bottom w:val="single" w:color="auto" w:sz="4" w:space="0"/>
            </w:tcBorders>
            <w:shd w:val="clear" w:color="auto" w:fill="FFFFFF"/>
            <w:vAlign w:val="center"/>
          </w:tcPr>
          <w:p>
            <w:pPr>
              <w:jc w:val="center"/>
              <w:rPr>
                <w:rFonts w:eastAsia="仿宋_GB2312"/>
                <w:szCs w:val="21"/>
              </w:rPr>
            </w:pPr>
            <w:r>
              <w:rPr>
                <w:rFonts w:hint="eastAsia" w:eastAsia="仿宋_GB2312"/>
                <w:szCs w:val="21"/>
              </w:rPr>
              <w:t>批发与零售业（H）</w:t>
            </w:r>
          </w:p>
        </w:tc>
        <w:tc>
          <w:tcPr>
            <w:tcW w:w="1417" w:type="dxa"/>
            <w:tcBorders>
              <w:top w:val="single" w:color="auto" w:sz="4" w:space="0"/>
              <w:left w:val="single" w:color="auto" w:sz="4" w:space="0"/>
              <w:bottom w:val="single" w:color="auto" w:sz="4" w:space="0"/>
            </w:tcBorders>
            <w:shd w:val="clear" w:color="auto" w:fill="FFFFFF"/>
            <w:vAlign w:val="center"/>
          </w:tcPr>
          <w:p>
            <w:pPr>
              <w:jc w:val="center"/>
              <w:rPr>
                <w:rFonts w:eastAsia="仿宋_GB2312"/>
                <w:szCs w:val="21"/>
              </w:rPr>
            </w:pPr>
            <w:r>
              <w:rPr>
                <w:rFonts w:hint="eastAsia" w:eastAsia="仿宋_GB2312"/>
                <w:szCs w:val="21"/>
              </w:rPr>
              <w:t>汽车、摩托车燃料及零配件专门零售（H656）</w:t>
            </w:r>
          </w:p>
        </w:tc>
        <w:tc>
          <w:tcPr>
            <w:tcW w:w="1417" w:type="dxa"/>
            <w:tcBorders>
              <w:top w:val="single" w:color="auto" w:sz="4" w:space="0"/>
              <w:left w:val="single" w:color="auto" w:sz="4" w:space="0"/>
              <w:bottom w:val="single" w:color="auto" w:sz="4" w:space="0"/>
            </w:tcBorders>
            <w:shd w:val="clear" w:color="auto" w:fill="FFFFFF"/>
            <w:vAlign w:val="center"/>
          </w:tcPr>
          <w:p>
            <w:pPr>
              <w:jc w:val="center"/>
              <w:rPr>
                <w:rFonts w:eastAsia="仿宋_GB2312"/>
                <w:szCs w:val="21"/>
              </w:rPr>
            </w:pPr>
            <w:r>
              <w:rPr>
                <w:rFonts w:hint="eastAsia" w:eastAsia="仿宋_GB2312"/>
                <w:szCs w:val="21"/>
              </w:rPr>
              <w:t>汽车零售（H6561）汽车零配件零售（H6562）</w:t>
            </w:r>
          </w:p>
        </w:tc>
        <w:tc>
          <w:tcPr>
            <w:tcW w:w="1417" w:type="dxa"/>
            <w:tcBorders>
              <w:top w:val="single" w:color="auto" w:sz="4" w:space="0"/>
              <w:left w:val="single" w:color="auto" w:sz="4" w:space="0"/>
              <w:bottom w:val="single" w:color="auto" w:sz="4" w:space="0"/>
            </w:tcBorders>
            <w:shd w:val="clear" w:color="auto" w:fill="FFFFFF"/>
            <w:vAlign w:val="center"/>
          </w:tcPr>
          <w:p>
            <w:pPr>
              <w:jc w:val="center"/>
              <w:rPr>
                <w:rFonts w:eastAsia="仿宋_GB2312"/>
                <w:szCs w:val="21"/>
              </w:rPr>
            </w:pPr>
            <w:r>
              <w:rPr>
                <w:rFonts w:hint="eastAsia" w:eastAsia="仿宋_GB2312"/>
                <w:szCs w:val="21"/>
              </w:rPr>
              <w:t>营销员（1401001）保险理赔专业人员（1502004）</w:t>
            </w:r>
          </w:p>
        </w:tc>
        <w:tc>
          <w:tcPr>
            <w:tcW w:w="1701" w:type="dxa"/>
            <w:tcBorders>
              <w:top w:val="single" w:color="auto" w:sz="4" w:space="0"/>
              <w:left w:val="single" w:color="auto" w:sz="4" w:space="0"/>
              <w:bottom w:val="single" w:color="auto" w:sz="4" w:space="0"/>
            </w:tcBorders>
            <w:shd w:val="clear" w:color="auto" w:fill="FFFFFF"/>
            <w:vAlign w:val="center"/>
          </w:tcPr>
          <w:p>
            <w:pPr>
              <w:jc w:val="center"/>
              <w:rPr>
                <w:rFonts w:eastAsia="仿宋_GB2312"/>
                <w:szCs w:val="21"/>
              </w:rPr>
            </w:pPr>
            <w:r>
              <w:rPr>
                <w:rFonts w:hint="eastAsia" w:eastAsia="仿宋_GB2312"/>
                <w:szCs w:val="21"/>
              </w:rPr>
              <w:t>高级管理、销售/业务、汽车经济/二手车估价员、接待/礼仪、客户</w:t>
            </w:r>
          </w:p>
        </w:tc>
        <w:tc>
          <w:tcPr>
            <w:tcW w:w="2393" w:type="dxa"/>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eastAsia="仿宋_GB2312"/>
                <w:szCs w:val="21"/>
              </w:rPr>
            </w:pPr>
            <w:r>
              <w:rPr>
                <w:rFonts w:hint="eastAsia" w:eastAsia="仿宋_GB2312"/>
                <w:szCs w:val="21"/>
              </w:rPr>
              <w:t>零部件销售（五级）</w:t>
            </w:r>
          </w:p>
          <w:p>
            <w:pPr>
              <w:jc w:val="center"/>
              <w:rPr>
                <w:rFonts w:eastAsia="仿宋_GB2312"/>
                <w:szCs w:val="21"/>
              </w:rPr>
            </w:pPr>
            <w:r>
              <w:rPr>
                <w:rFonts w:hint="eastAsia" w:eastAsia="仿宋_GB2312"/>
                <w:szCs w:val="21"/>
              </w:rPr>
              <w:t>营销员（五级）</w:t>
            </w:r>
          </w:p>
          <w:p>
            <w:pPr>
              <w:jc w:val="center"/>
              <w:rPr>
                <w:rFonts w:eastAsia="仿宋_GB2312"/>
                <w:szCs w:val="21"/>
              </w:rPr>
            </w:pPr>
            <w:r>
              <w:rPr>
                <w:rFonts w:hint="eastAsia" w:eastAsia="仿宋_GB2312"/>
                <w:szCs w:val="21"/>
              </w:rPr>
              <w:t xml:space="preserve">二手车评估员（五级） </w:t>
            </w:r>
          </w:p>
          <w:p>
            <w:pPr>
              <w:jc w:val="center"/>
              <w:rPr>
                <w:rFonts w:eastAsia="仿宋_GB2312"/>
                <w:szCs w:val="21"/>
              </w:rPr>
            </w:pPr>
            <w:r>
              <w:rPr>
                <w:rFonts w:hint="eastAsia" w:eastAsia="仿宋_GB2312"/>
                <w:szCs w:val="21"/>
              </w:rPr>
              <w:t>营销员（五级）</w:t>
            </w:r>
          </w:p>
        </w:tc>
      </w:tr>
    </w:tbl>
    <w:p>
      <w:pPr>
        <w:pStyle w:val="3"/>
        <w:pageBreakBefore w:val="0"/>
        <w:widowControl w:val="0"/>
        <w:kinsoku/>
        <w:wordWrap/>
        <w:overflowPunct/>
        <w:topLinePunct w:val="0"/>
        <w:autoSpaceDE/>
        <w:autoSpaceDN/>
        <w:bidi w:val="0"/>
        <w:adjustRightInd/>
        <w:snapToGrid/>
        <w:spacing w:line="560" w:lineRule="exact"/>
        <w:ind w:firstLine="562" w:firstLineChars="200"/>
        <w:textAlignment w:val="auto"/>
        <w:rPr>
          <w:rFonts w:ascii="仿宋_GB2312" w:hAnsi="仿宋_GB2312" w:cs="仿宋_GB2312"/>
          <w:szCs w:val="28"/>
        </w:rPr>
      </w:pPr>
      <w:bookmarkStart w:id="26" w:name="_Toc8197"/>
      <w:r>
        <w:rPr>
          <w:rFonts w:hint="eastAsia" w:ascii="仿宋_GB2312" w:hAnsi="仿宋_GB2312" w:cs="仿宋_GB2312"/>
          <w:szCs w:val="28"/>
        </w:rPr>
        <w:t>（二</w:t>
      </w:r>
      <w:r>
        <w:rPr>
          <w:rFonts w:hint="eastAsia" w:ascii="仿宋_GB2312" w:hAnsi="仿宋_GB2312" w:cs="仿宋_GB2312"/>
          <w:szCs w:val="28"/>
          <w:lang w:val="zh-CN"/>
        </w:rPr>
        <w:t>）接</w:t>
      </w:r>
      <w:r>
        <w:rPr>
          <w:rFonts w:hint="eastAsia" w:ascii="仿宋_GB2312" w:hAnsi="仿宋_GB2312" w:cs="仿宋_GB2312"/>
          <w:szCs w:val="28"/>
        </w:rPr>
        <w:t>续专业</w:t>
      </w:r>
      <w:bookmarkEnd w:id="26"/>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高职专科:汽车技术服务与营销</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本科:汽车服务工程</w:t>
      </w:r>
    </w:p>
    <w:p>
      <w:pPr>
        <w:pStyle w:val="2"/>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sz w:val="32"/>
          <w:szCs w:val="32"/>
        </w:rPr>
      </w:pPr>
      <w:bookmarkStart w:id="27" w:name="_Toc20758"/>
      <w:bookmarkStart w:id="28" w:name="_Toc16685"/>
      <w:bookmarkStart w:id="29" w:name="_Toc11425"/>
      <w:bookmarkStart w:id="30" w:name="_Toc28515"/>
      <w:r>
        <w:rPr>
          <w:rFonts w:hint="eastAsia" w:ascii="仿宋_GB2312" w:hAnsi="仿宋_GB2312" w:eastAsia="仿宋_GB2312" w:cs="仿宋_GB2312"/>
          <w:sz w:val="32"/>
          <w:szCs w:val="32"/>
        </w:rPr>
        <w:t>五、培养目标与培养规格</w:t>
      </w:r>
      <w:bookmarkEnd w:id="27"/>
      <w:bookmarkEnd w:id="28"/>
      <w:bookmarkEnd w:id="29"/>
      <w:bookmarkEnd w:id="30"/>
    </w:p>
    <w:p>
      <w:pPr>
        <w:pStyle w:val="3"/>
        <w:pageBreakBefore w:val="0"/>
        <w:widowControl w:val="0"/>
        <w:kinsoku/>
        <w:wordWrap/>
        <w:overflowPunct/>
        <w:topLinePunct w:val="0"/>
        <w:autoSpaceDE/>
        <w:autoSpaceDN/>
        <w:bidi w:val="0"/>
        <w:adjustRightInd/>
        <w:snapToGrid/>
        <w:spacing w:line="560" w:lineRule="exact"/>
        <w:ind w:firstLine="562" w:firstLineChars="200"/>
        <w:textAlignment w:val="auto"/>
        <w:rPr>
          <w:rFonts w:ascii="仿宋_GB2312" w:hAnsi="仿宋_GB2312" w:cs="仿宋_GB2312"/>
          <w:szCs w:val="28"/>
        </w:rPr>
      </w:pPr>
      <w:bookmarkStart w:id="31" w:name="_Toc29424"/>
      <w:bookmarkStart w:id="32" w:name="_Toc22839"/>
      <w:bookmarkStart w:id="33" w:name="_Toc17650"/>
      <w:bookmarkStart w:id="34" w:name="_Toc25684"/>
      <w:r>
        <w:rPr>
          <w:rFonts w:hint="eastAsia" w:ascii="仿宋_GB2312" w:hAnsi="仿宋_GB2312" w:cs="仿宋_GB2312"/>
          <w:szCs w:val="28"/>
        </w:rPr>
        <w:t>（一）培养目标</w:t>
      </w:r>
      <w:bookmarkEnd w:id="31"/>
      <w:bookmarkEnd w:id="32"/>
      <w:bookmarkEnd w:id="33"/>
      <w:bookmarkEnd w:id="34"/>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eastAsia="仿宋_GB2312"/>
          <w:sz w:val="28"/>
          <w:szCs w:val="28"/>
        </w:rPr>
      </w:pPr>
      <w:r>
        <w:rPr>
          <w:rFonts w:hint="eastAsia" w:eastAsia="仿宋_GB2312"/>
          <w:sz w:val="28"/>
          <w:szCs w:val="28"/>
        </w:rPr>
        <w:t>本专业主要面向汽车销售、汽车维修服务、汽车保险等行业企业，培养在经营和服务一线能从事车辆销售、车辆鉴定、旧机动车评估、保险理赔等工作，德、智、体、美全面发展，具有职业生涯发展基础的高素质应用性高技能专门人才。</w:t>
      </w:r>
    </w:p>
    <w:p>
      <w:pPr>
        <w:pStyle w:val="3"/>
        <w:pageBreakBefore w:val="0"/>
        <w:widowControl w:val="0"/>
        <w:kinsoku/>
        <w:wordWrap/>
        <w:overflowPunct/>
        <w:topLinePunct w:val="0"/>
        <w:autoSpaceDE/>
        <w:autoSpaceDN/>
        <w:bidi w:val="0"/>
        <w:adjustRightInd/>
        <w:snapToGrid/>
        <w:spacing w:line="560" w:lineRule="exact"/>
        <w:ind w:firstLine="562" w:firstLineChars="200"/>
        <w:textAlignment w:val="auto"/>
        <w:rPr>
          <w:rFonts w:ascii="仿宋_GB2312" w:hAnsi="仿宋_GB2312" w:cs="仿宋_GB2312"/>
          <w:szCs w:val="28"/>
        </w:rPr>
      </w:pPr>
      <w:bookmarkStart w:id="35" w:name="_Toc18256"/>
      <w:bookmarkStart w:id="36" w:name="_Toc25442"/>
      <w:bookmarkStart w:id="37" w:name="_Toc23143"/>
      <w:bookmarkStart w:id="38" w:name="_Toc29376"/>
      <w:r>
        <w:rPr>
          <w:rFonts w:hint="eastAsia" w:ascii="仿宋_GB2312" w:hAnsi="仿宋_GB2312" w:cs="仿宋_GB2312"/>
          <w:szCs w:val="28"/>
        </w:rPr>
        <w:t>（二）培养规格</w:t>
      </w:r>
      <w:bookmarkEnd w:id="35"/>
      <w:bookmarkEnd w:id="36"/>
      <w:bookmarkEnd w:id="37"/>
      <w:bookmarkEnd w:id="38"/>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本专业毕业生应该具有以下素质、知识和能力：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bookmarkStart w:id="39" w:name="_Toc1032"/>
      <w:r>
        <w:rPr>
          <w:rFonts w:hint="eastAsia" w:ascii="仿宋_GB2312" w:hAnsi="仿宋_GB2312" w:eastAsia="仿宋_GB2312" w:cs="仿宋_GB2312"/>
          <w:sz w:val="28"/>
          <w:szCs w:val="28"/>
        </w:rPr>
        <w:t>1.素质</w:t>
      </w:r>
      <w:bookmarkEnd w:id="39"/>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（1）具有坚定的政治方向、良好的思想品德素质和健全的人格,热爱祖国、热爱人民、拥护中国共产党的领导,具有国家意识、法制意识和社会责任意识，树立正确的世界观、人生观、价值观。</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（2）具有良好的人际交往与团队协作能力。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（3）具有能吃苦耐劳，责任感强，执行力强的工作品质。</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（4）具有较强地获取信息、分析判断和学习新知识的能力。</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（5）具有良好的职业道德,能自觉遵守行业法规、规范和企业规章制度。</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（6）具有较强的安全文明生产与节能环保意识，积极的职业竞争和服务意识。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bookmarkStart w:id="40" w:name="_Toc9291"/>
      <w:r>
        <w:rPr>
          <w:rFonts w:hint="eastAsia" w:ascii="仿宋_GB2312" w:hAnsi="仿宋_GB2312" w:eastAsia="仿宋_GB2312" w:cs="仿宋_GB2312"/>
          <w:sz w:val="28"/>
          <w:szCs w:val="28"/>
        </w:rPr>
        <w:t>2.知识</w:t>
      </w:r>
      <w:bookmarkEnd w:id="40"/>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(1)具备基本的计算机操作能力；</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(2)掌握汽车构造原理和具备对汽车进行技术评价的能力；</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(3）掌握汽车销售的基本原理和技巧；</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(4）具备汽车销售策划和组织实施的</w:t>
      </w:r>
      <w:bookmarkStart w:id="106" w:name="_GoBack"/>
      <w:bookmarkEnd w:id="106"/>
      <w:r>
        <w:rPr>
          <w:rFonts w:hint="eastAsia" w:ascii="仿宋_GB2312" w:hAnsi="仿宋_GB2312" w:eastAsia="仿宋_GB2312" w:cs="仿宋_GB2312"/>
          <w:sz w:val="28"/>
          <w:szCs w:val="28"/>
        </w:rPr>
        <w:t>能力；</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(5)熟悉汽车维修接待的基本步骤，能够独立完成维修车辆接待，掌握下派工单的知识。</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bookmarkStart w:id="41" w:name="_Toc27134"/>
      <w:r>
        <w:rPr>
          <w:rFonts w:hint="eastAsia" w:ascii="仿宋_GB2312" w:hAnsi="仿宋_GB2312" w:eastAsia="仿宋_GB2312" w:cs="仿宋_GB2312"/>
          <w:sz w:val="28"/>
          <w:szCs w:val="28"/>
        </w:rPr>
        <w:t>3.能力</w:t>
      </w:r>
      <w:bookmarkEnd w:id="41"/>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方向1——汽车整车与配件销售</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（1）敬业爱岗，有较好的组织协调和沟通能力；</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（2）熟练掌握汽车的原理构造，掌握汽车各零部件的作用和在使用中的差异性；</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（3）能够对车辆性能进行技术评价，能够为客户提供购车建议；</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（4）能够与客户进行良好沟通，能够解答客户的购车建议；</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(5)能够独立完成汽车销售中的各项业务。</w:t>
      </w:r>
    </w:p>
    <w:p>
      <w:pPr>
        <w:pageBreakBefore w:val="0"/>
        <w:widowControl w:val="0"/>
        <w:kinsoku/>
        <w:wordWrap/>
        <w:overflowPunct/>
        <w:topLinePunct w:val="0"/>
        <w:autoSpaceDE/>
        <w:autoSpaceDN/>
        <w:bidi w:val="0"/>
        <w:adjustRightInd/>
        <w:snapToGrid/>
        <w:spacing w:line="560" w:lineRule="exact"/>
        <w:ind w:firstLine="548" w:firstLineChars="196"/>
        <w:textAlignment w:val="auto"/>
        <w:rPr>
          <w:rFonts w:eastAsia="方正仿宋简体"/>
          <w:bCs/>
          <w:color w:val="000000"/>
          <w:sz w:val="29"/>
          <w:szCs w:val="29"/>
        </w:rPr>
      </w:pPr>
      <w:r>
        <w:rPr>
          <w:rFonts w:hint="eastAsia" w:ascii="仿宋_GB2312" w:hAnsi="仿宋_GB2312" w:eastAsia="仿宋_GB2312" w:cs="仿宋_GB2312"/>
          <w:sz w:val="28"/>
          <w:szCs w:val="28"/>
        </w:rPr>
        <w:t>方向2——车辆查勘定损及保险理赔</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(1)敬业爱岗，有较好的组织协调和沟通能力；</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ascii="仿宋_GB2312" w:hAnsi="仿宋_GB2312" w:eastAsia="仿宋_GB2312" w:cs="仿宋_GB2312"/>
          <w:sz w:val="28"/>
          <w:szCs w:val="28"/>
        </w:rPr>
        <w:t>具有二手车营销岗位所需的专业基础理论知识</w:t>
      </w:r>
      <w:r>
        <w:rPr>
          <w:rFonts w:hint="eastAsia" w:ascii="仿宋_GB2312" w:hAnsi="仿宋_GB2312" w:eastAsia="仿宋_GB2312" w:cs="仿宋_GB2312"/>
          <w:sz w:val="28"/>
          <w:szCs w:val="28"/>
        </w:rPr>
        <w:t>；</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ascii="仿宋_GB2312" w:hAnsi="仿宋_GB2312" w:eastAsia="仿宋_GB2312" w:cs="仿宋_GB2312"/>
          <w:sz w:val="28"/>
          <w:szCs w:val="28"/>
        </w:rPr>
        <w:t>掌握二手车鉴定评估基本流程，具备撰写二手车评估报告的基本能力</w:t>
      </w:r>
      <w:r>
        <w:rPr>
          <w:rFonts w:hint="eastAsia" w:ascii="仿宋_GB2312" w:hAnsi="仿宋_GB2312" w:eastAsia="仿宋_GB2312" w:cs="仿宋_GB2312"/>
          <w:sz w:val="28"/>
          <w:szCs w:val="28"/>
        </w:rPr>
        <w:t>；</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(4)</w:t>
      </w:r>
      <w:r>
        <w:rPr>
          <w:rFonts w:ascii="仿宋_GB2312" w:hAnsi="仿宋_GB2312" w:eastAsia="仿宋_GB2312" w:cs="仿宋_GB2312"/>
          <w:sz w:val="28"/>
          <w:szCs w:val="28"/>
        </w:rPr>
        <w:t>掌握二手车交易的常见模式和基本流程，具备开展二手车交易的基本能力</w:t>
      </w:r>
      <w:r>
        <w:rPr>
          <w:rFonts w:hint="eastAsia" w:ascii="仿宋_GB2312" w:hAnsi="仿宋_GB2312" w:eastAsia="仿宋_GB2312" w:cs="仿宋_GB2312"/>
          <w:sz w:val="28"/>
          <w:szCs w:val="28"/>
        </w:rPr>
        <w:t>；</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(5)</w:t>
      </w:r>
      <w:r>
        <w:rPr>
          <w:rFonts w:ascii="仿宋_GB2312" w:hAnsi="仿宋_GB2312" w:eastAsia="仿宋_GB2312" w:cs="仿宋_GB2312"/>
          <w:sz w:val="28"/>
          <w:szCs w:val="28"/>
        </w:rPr>
        <w:t>具有汽车保险代理岗位所需的专业基础理论知识</w:t>
      </w:r>
      <w:r>
        <w:rPr>
          <w:rFonts w:hint="eastAsia" w:ascii="仿宋_GB2312" w:hAnsi="仿宋_GB2312" w:eastAsia="仿宋_GB2312" w:cs="仿宋_GB2312"/>
          <w:sz w:val="28"/>
          <w:szCs w:val="28"/>
        </w:rPr>
        <w:t>；</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(6)</w:t>
      </w:r>
      <w:r>
        <w:rPr>
          <w:rFonts w:ascii="仿宋_GB2312" w:hAnsi="仿宋_GB2312" w:eastAsia="仿宋_GB2312" w:cs="仿宋_GB2312"/>
          <w:sz w:val="28"/>
          <w:szCs w:val="28"/>
        </w:rPr>
        <w:t>掌握汽车保险相关法律法规，具备正确分析汽车保险代理过程中常见法律问题的基本能力</w:t>
      </w:r>
      <w:r>
        <w:rPr>
          <w:rFonts w:hint="eastAsia" w:ascii="仿宋_GB2312" w:hAnsi="仿宋_GB2312" w:eastAsia="仿宋_GB2312" w:cs="仿宋_GB2312"/>
          <w:sz w:val="28"/>
          <w:szCs w:val="28"/>
        </w:rPr>
        <w:t>；</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(7)</w:t>
      </w:r>
      <w:r>
        <w:rPr>
          <w:rFonts w:ascii="仿宋_GB2312" w:hAnsi="仿宋_GB2312" w:eastAsia="仿宋_GB2312" w:cs="仿宋_GB2312"/>
          <w:sz w:val="28"/>
          <w:szCs w:val="28"/>
        </w:rPr>
        <w:t>掌握汽车保险代理流程，具有完成汽车保险代理的基本能力</w:t>
      </w:r>
      <w:r>
        <w:rPr>
          <w:rFonts w:hint="eastAsia" w:ascii="仿宋_GB2312" w:hAnsi="仿宋_GB2312" w:eastAsia="仿宋_GB2312" w:cs="仿宋_GB2312"/>
          <w:sz w:val="28"/>
          <w:szCs w:val="28"/>
        </w:rPr>
        <w:t>。</w:t>
      </w:r>
    </w:p>
    <w:p>
      <w:pPr>
        <w:pageBreakBefore w:val="0"/>
        <w:widowControl w:val="0"/>
        <w:kinsoku/>
        <w:wordWrap/>
        <w:overflowPunct/>
        <w:topLinePunct w:val="0"/>
        <w:autoSpaceDE/>
        <w:autoSpaceDN/>
        <w:bidi w:val="0"/>
        <w:adjustRightInd/>
        <w:snapToGrid/>
        <w:spacing w:line="560" w:lineRule="exact"/>
        <w:ind w:firstLine="548" w:firstLineChars="196"/>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方向3——汽车维修接待</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(1）敬业爱岗，有较好的组织协调和沟通能力；</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(2）熟悉汽车构造汽车维修诊断知识；</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(3）掌握汽车售后服务作业流程及电脑操作；</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(4）能够根据客户的特点和要求推荐适宜的零配件或汽车用品；</w:t>
      </w:r>
      <w:bookmarkStart w:id="42" w:name="bookmark51"/>
      <w:bookmarkStart w:id="43" w:name="_Toc27128"/>
      <w:bookmarkStart w:id="44" w:name="bookmark49"/>
      <w:bookmarkStart w:id="45" w:name="_Toc12514"/>
      <w:bookmarkStart w:id="46" w:name="_Toc27554"/>
      <w:bookmarkStart w:id="47" w:name="_Toc16280"/>
      <w:bookmarkStart w:id="48" w:name="bookmark52"/>
      <w:bookmarkStart w:id="49" w:name="bookmark50"/>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(5)熟练掌握汽车的原理构造，掌握汽车各零部件的作用和在使用中的差异性；</w:t>
      </w:r>
    </w:p>
    <w:p>
      <w:pPr>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(6)熟悉汽车零配件的价格和维修工时定额及维修费用。</w:t>
      </w:r>
    </w:p>
    <w:p>
      <w:pPr>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六</w:t>
      </w:r>
      <w:bookmarkEnd w:id="42"/>
      <w:r>
        <w:rPr>
          <w:rFonts w:hint="eastAsia" w:ascii="仿宋_GB2312" w:hAnsi="仿宋_GB2312" w:eastAsia="仿宋_GB2312" w:cs="仿宋_GB2312"/>
          <w:b/>
          <w:bCs/>
          <w:sz w:val="32"/>
          <w:szCs w:val="32"/>
        </w:rPr>
        <w:t>、课程设置及要求</w:t>
      </w:r>
      <w:bookmarkEnd w:id="43"/>
      <w:bookmarkEnd w:id="44"/>
      <w:bookmarkEnd w:id="45"/>
      <w:bookmarkEnd w:id="46"/>
      <w:bookmarkEnd w:id="47"/>
      <w:bookmarkEnd w:id="48"/>
      <w:bookmarkEnd w:id="49"/>
    </w:p>
    <w:p>
      <w:pPr>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rPr>
      </w:pPr>
    </w:p>
    <w:p>
      <w:pPr>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_GB2312" w:eastAsia="仿宋_GB2312" w:cs="仿宋_GB2312"/>
          <w:b/>
          <w:bCs/>
          <w:sz w:val="32"/>
          <w:szCs w:val="32"/>
        </w:rPr>
      </w:pPr>
    </w:p>
    <w:p>
      <w:pPr>
        <w:pStyle w:val="3"/>
        <w:spacing w:line="240" w:lineRule="auto"/>
        <w:ind w:firstLine="562" w:firstLineChars="200"/>
        <w:rPr>
          <w:rFonts w:hint="eastAsia" w:ascii="仿宋_GB2312" w:hAnsi="仿宋_GB2312" w:cs="仿宋_GB2312"/>
          <w:szCs w:val="28"/>
        </w:rPr>
      </w:pPr>
      <w:bookmarkStart w:id="50" w:name="_Toc1477"/>
      <w:bookmarkStart w:id="51" w:name="_Toc23536"/>
      <w:bookmarkStart w:id="52" w:name="_Toc8617"/>
      <w:bookmarkStart w:id="53" w:name="_Toc13498"/>
      <w:r>
        <w:rPr>
          <w:rFonts w:hint="eastAsia" w:ascii="仿宋_GB2312" w:hAnsi="仿宋_GB2312" w:cs="仿宋_GB2312"/>
          <w:szCs w:val="28"/>
        </w:rPr>
        <w:t>（一）</w:t>
      </w:r>
      <w:r>
        <w:rPr>
          <w:rFonts w:hint="eastAsia" w:ascii="仿宋_GB2312" w:hAnsi="仿宋_GB2312" w:cs="仿宋_GB2312"/>
          <w:szCs w:val="28"/>
          <w:lang w:val="zh-CN"/>
        </w:rPr>
        <w:t>课</w:t>
      </w:r>
      <w:r>
        <w:rPr>
          <w:rFonts w:hint="eastAsia" w:ascii="仿宋_GB2312" w:hAnsi="仿宋_GB2312" w:cs="仿宋_GB2312"/>
          <w:szCs w:val="28"/>
        </w:rPr>
        <w:t>程结构</w:t>
      </w:r>
      <w:bookmarkEnd w:id="50"/>
      <w:bookmarkEnd w:id="51"/>
      <w:bookmarkEnd w:id="52"/>
      <w:bookmarkEnd w:id="53"/>
    </w:p>
    <w:p>
      <w:pPr>
        <w:rPr>
          <w:rFonts w:hint="eastAsia" w:ascii="仿宋_GB2312" w:hAnsi="仿宋_GB2312" w:cs="仿宋_GB2312"/>
          <w:szCs w:val="28"/>
        </w:rPr>
      </w:pPr>
      <w:r>
        <w:rPr>
          <w:rFonts w:hint="eastAsia" w:ascii="仿宋_GB2312" w:hAnsi="仿宋_GB2312" w:cs="仿宋_GB2312"/>
          <w:szCs w:val="28"/>
        </w:rPr>
        <w:pict>
          <v:shape id="_x0000_s1026" o:spid="_x0000_s1026" o:spt="75" type="#_x0000_t75" style="position:absolute;left:0pt;margin-left:-24.15pt;margin-top:2.4pt;height:603.25pt;width:483.3pt;z-index:251660288;mso-width-relative:page;mso-height-relative:page;" o:ole="t" filled="f" o:preferrelative="t" stroked="f" coordsize="21600,21600">
            <v:path/>
            <v:fill on="f" focussize="0,0"/>
            <v:stroke on="f"/>
            <v:imagedata r:id="rId8" o:title=""/>
            <o:lock v:ext="edit" aspectratio="t"/>
          </v:shape>
          <o:OLEObject Type="Embed" ProgID="Excel.Sheet.8" ShapeID="_x0000_s1026" DrawAspect="Content" ObjectID="_1468075725" r:id="rId7">
            <o:LockedField>false</o:LockedField>
          </o:OLEObject>
        </w:pict>
      </w: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rPr>
          <w:rFonts w:hint="eastAsia" w:ascii="仿宋_GB2312" w:hAnsi="仿宋_GB2312" w:cs="仿宋_GB2312"/>
          <w:szCs w:val="28"/>
        </w:rPr>
      </w:pPr>
    </w:p>
    <w:p>
      <w:pPr>
        <w:jc w:val="center"/>
        <w:rPr>
          <w:rFonts w:hint="eastAsia" w:ascii="仿宋_GB2312" w:hAnsi="仿宋_GB2312" w:cs="仿宋_GB2312"/>
          <w:szCs w:val="28"/>
        </w:rPr>
      </w:pPr>
      <w:r>
        <w:rPr>
          <w:rFonts w:hint="eastAsia" w:ascii="仿宋_GB2312" w:hAnsi="仿宋_GB2312" w:cs="仿宋_GB2312"/>
          <w:b w:val="0"/>
          <w:bCs/>
          <w:sz w:val="21"/>
          <w:szCs w:val="21"/>
        </w:rPr>
        <w:t>表2课程结构框架图</w:t>
      </w:r>
    </w:p>
    <w:p>
      <w:pPr>
        <w:pStyle w:val="3"/>
        <w:spacing w:line="240" w:lineRule="auto"/>
        <w:ind w:firstLine="562" w:firstLineChars="200"/>
        <w:rPr>
          <w:rFonts w:ascii="仿宋_GB2312" w:hAnsi="仿宋_GB2312" w:cs="仿宋_GB2312"/>
          <w:szCs w:val="28"/>
        </w:rPr>
      </w:pPr>
      <w:bookmarkStart w:id="54" w:name="_Toc18857"/>
      <w:bookmarkStart w:id="55" w:name="_Toc1228"/>
      <w:bookmarkStart w:id="56" w:name="_Toc8966"/>
      <w:bookmarkStart w:id="57" w:name="_Toc514"/>
      <w:r>
        <w:rPr>
          <w:rFonts w:hint="eastAsia" w:ascii="仿宋_GB2312" w:hAnsi="仿宋_GB2312" w:cs="仿宋_GB2312"/>
          <w:szCs w:val="28"/>
        </w:rPr>
        <w:t>（二）课程设置及要求</w:t>
      </w:r>
      <w:bookmarkEnd w:id="54"/>
      <w:bookmarkEnd w:id="55"/>
      <w:bookmarkEnd w:id="56"/>
      <w:bookmarkEnd w:id="57"/>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课包括必修课和选修课。专业技能课包括专业核心课、专业技能方向课、专业选修课和专业实习。</w:t>
      </w:r>
    </w:p>
    <w:p>
      <w:pPr>
        <w:ind w:firstLine="560" w:firstLineChars="200"/>
        <w:rPr>
          <w:rFonts w:ascii="仿宋_GB2312" w:hAnsi="仿宋_GB2312" w:eastAsia="仿宋_GB2312" w:cs="仿宋_GB2312"/>
          <w:sz w:val="28"/>
          <w:szCs w:val="28"/>
        </w:rPr>
      </w:pPr>
      <w:bookmarkStart w:id="58" w:name="_Toc24241"/>
      <w:r>
        <w:rPr>
          <w:rFonts w:hint="eastAsia" w:ascii="仿宋_GB2312" w:hAnsi="仿宋_GB2312" w:eastAsia="仿宋_GB2312" w:cs="仿宋_GB2312"/>
          <w:sz w:val="28"/>
          <w:szCs w:val="28"/>
        </w:rPr>
        <w:t>1.公共基础课程</w:t>
      </w:r>
      <w:bookmarkEnd w:id="58"/>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（1）必修课</w:t>
      </w:r>
    </w:p>
    <w:tbl>
      <w:tblPr>
        <w:tblStyle w:val="10"/>
        <w:tblW w:w="9606" w:type="dxa"/>
        <w:jc w:val="center"/>
        <w:tblLayout w:type="fixed"/>
        <w:tblCellMar>
          <w:top w:w="0" w:type="dxa"/>
          <w:left w:w="108" w:type="dxa"/>
          <w:bottom w:w="0" w:type="dxa"/>
          <w:right w:w="108" w:type="dxa"/>
        </w:tblCellMar>
      </w:tblPr>
      <w:tblGrid>
        <w:gridCol w:w="748"/>
        <w:gridCol w:w="1275"/>
        <w:gridCol w:w="6492"/>
        <w:gridCol w:w="1091"/>
      </w:tblGrid>
      <w:tr>
        <w:tblPrEx>
          <w:tblCellMar>
            <w:top w:w="0" w:type="dxa"/>
            <w:left w:w="108" w:type="dxa"/>
            <w:bottom w:w="0" w:type="dxa"/>
            <w:right w:w="108" w:type="dxa"/>
          </w:tblCellMar>
        </w:tblPrEx>
        <w:trPr>
          <w:trHeight w:val="458" w:hRule="atLeast"/>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课程名称</w:t>
            </w:r>
          </w:p>
        </w:tc>
        <w:tc>
          <w:tcPr>
            <w:tcW w:w="6492"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教学内容和要求</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参考课时</w:t>
            </w:r>
          </w:p>
        </w:tc>
      </w:tr>
      <w:tr>
        <w:tblPrEx>
          <w:tblCellMar>
            <w:top w:w="0" w:type="dxa"/>
            <w:left w:w="108" w:type="dxa"/>
            <w:bottom w:w="0" w:type="dxa"/>
            <w:right w:w="108" w:type="dxa"/>
          </w:tblCellMar>
        </w:tblPrEx>
        <w:trPr>
          <w:trHeight w:val="90" w:hRule="atLeast"/>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思想政治</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Cs w:val="21"/>
              </w:rPr>
            </w:pPr>
            <w:r>
              <w:rPr>
                <w:rFonts w:hint="eastAsia" w:ascii="仿宋_GB2312" w:hAnsi="仿宋_GB2312" w:eastAsia="仿宋_GB2312" w:cs="仿宋_GB2312"/>
                <w:szCs w:val="21"/>
              </w:rPr>
              <w:t>依据《中等职业学校思想政治课程标准-（2020年版）》开设，并与学生专业能力发展和职业岗位需求密切结合。包括中国特色社会主义、心理健康与职业生涯、职业道德与法治、哲学与人生四个必修模块。</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语文</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Cs w:val="21"/>
              </w:rPr>
            </w:pPr>
            <w:r>
              <w:rPr>
                <w:rFonts w:hint="eastAsia" w:ascii="仿宋_GB2312" w:hAnsi="仿宋_GB2312" w:eastAsia="仿宋_GB2312" w:cs="仿宋_GB2312"/>
                <w:szCs w:val="21"/>
              </w:rPr>
              <w:t>依据《中等职业学校语文课程标准-（2020年版）》开设，并注重在职业模块的教学内容中体现专业特色。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180</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数学</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Cs w:val="21"/>
              </w:rPr>
            </w:pPr>
            <w:r>
              <w:rPr>
                <w:rFonts w:hint="eastAsia" w:ascii="仿宋_GB2312" w:hAnsi="仿宋_GB2312" w:eastAsia="仿宋_GB2312" w:cs="仿宋_GB2312"/>
                <w:szCs w:val="21"/>
              </w:rPr>
              <w:t>依据《中等职业学校数学课程标准-（2020年版）》开设，并注重在职业模块的教学内容中体现专业特色。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英语</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Cs w:val="21"/>
              </w:rPr>
            </w:pPr>
            <w:r>
              <w:rPr>
                <w:rFonts w:hint="eastAsia" w:ascii="仿宋_GB2312" w:hAnsi="仿宋_GB2312" w:eastAsia="仿宋_GB2312" w:cs="仿宋_GB2312"/>
                <w:szCs w:val="21"/>
              </w:rPr>
              <w:t>依据《中等职业学校英语课程标准-（2020年版）》开设，并注重在职业模块的教学内容中体现专业特色。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144</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信息技术</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Cs w:val="21"/>
              </w:rPr>
            </w:pPr>
            <w:r>
              <w:rPr>
                <w:rFonts w:hint="eastAsia" w:ascii="仿宋_GB2312" w:hAnsi="仿宋_GB2312" w:eastAsia="仿宋_GB2312" w:cs="仿宋_GB2312"/>
                <w:szCs w:val="21"/>
              </w:rPr>
              <w:t>依据《中等职业学校信息技术课程标准-（2020年版）》开设，并注重在职业模块的教学内容中体现专业特色。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6</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体育与健康</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Cs w:val="21"/>
              </w:rPr>
            </w:pPr>
            <w:r>
              <w:rPr>
                <w:rFonts w:hint="eastAsia" w:ascii="仿宋_GB2312" w:hAnsi="仿宋_GB2312" w:eastAsia="仿宋_GB2312" w:cs="仿宋_GB2312"/>
                <w:szCs w:val="21"/>
              </w:rPr>
              <w:t>依据《中等职业学校体育与健康课程标准-（2020年版）》开设，并与专业实际和行业发展密切结合。</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180</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7</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艺术</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Cs w:val="21"/>
              </w:rPr>
            </w:pPr>
            <w:r>
              <w:rPr>
                <w:rFonts w:hint="eastAsia" w:ascii="仿宋_GB2312" w:hAnsi="仿宋_GB2312" w:eastAsia="仿宋_GB2312" w:cs="仿宋_GB2312"/>
                <w:szCs w:val="21"/>
              </w:rPr>
              <w:t>依据《中等职业学校公共艺术课程标准-（2020年版）》开设，并注重在职业模块的教学内容中体现专业特色。</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72</w:t>
            </w:r>
          </w:p>
        </w:tc>
      </w:tr>
      <w:tr>
        <w:tblPrEx>
          <w:tblCellMar>
            <w:top w:w="0" w:type="dxa"/>
            <w:left w:w="108" w:type="dxa"/>
            <w:bottom w:w="0" w:type="dxa"/>
            <w:right w:w="108" w:type="dxa"/>
          </w:tblCellMar>
        </w:tblPrEx>
        <w:trPr>
          <w:jc w:val="center"/>
        </w:trPr>
        <w:tc>
          <w:tcPr>
            <w:tcW w:w="74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8</w:t>
            </w:r>
          </w:p>
        </w:tc>
        <w:tc>
          <w:tcPr>
            <w:tcW w:w="1275"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历史</w:t>
            </w:r>
          </w:p>
        </w:tc>
        <w:tc>
          <w:tcPr>
            <w:tcW w:w="649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ascii="仿宋_GB2312" w:hAnsi="仿宋_GB2312" w:eastAsia="仿宋_GB2312" w:cs="仿宋_GB2312"/>
                <w:szCs w:val="21"/>
              </w:rPr>
            </w:pPr>
            <w:r>
              <w:rPr>
                <w:rFonts w:hint="eastAsia" w:ascii="仿宋_GB2312" w:hAnsi="仿宋_GB2312" w:eastAsia="仿宋_GB2312" w:cs="仿宋_GB2312"/>
                <w:szCs w:val="21"/>
              </w:rPr>
              <w:t>依据《中等职业学校历史课程标准-（2020年版）》开设，并与学生专业能力发展和职业岗位需求密切结合。</w:t>
            </w:r>
          </w:p>
        </w:tc>
        <w:tc>
          <w:tcPr>
            <w:tcW w:w="1091" w:type="dxa"/>
            <w:tcBorders>
              <w:top w:val="single" w:color="auto" w:sz="4" w:space="0"/>
              <w:left w:val="nil"/>
              <w:bottom w:val="single" w:color="auto" w:sz="4" w:space="0"/>
              <w:right w:val="single" w:color="auto" w:sz="4" w:space="0"/>
            </w:tcBorders>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72</w:t>
            </w:r>
          </w:p>
        </w:tc>
      </w:tr>
    </w:tbl>
    <w:p>
      <w:pPr>
        <w:jc w:val="center"/>
        <w:rPr>
          <w:rFonts w:ascii="仿宋_GB2312" w:hAnsi="仿宋_GB2312" w:eastAsia="仿宋_GB2312" w:cs="仿宋_GB2312"/>
          <w:szCs w:val="21"/>
        </w:rPr>
      </w:pPr>
      <w:r>
        <w:rPr>
          <w:rFonts w:hint="eastAsia" w:ascii="仿宋_GB2312" w:hAnsi="仿宋_GB2312" w:eastAsia="仿宋_GB2312" w:cs="仿宋_GB2312"/>
          <w:szCs w:val="21"/>
        </w:rPr>
        <w:t>表</w:t>
      </w:r>
      <w:r>
        <w:rPr>
          <w:rFonts w:hint="eastAsia" w:ascii="仿宋_GB2312" w:hAnsi="仿宋_GB2312" w:cs="仿宋_GB2312"/>
          <w:szCs w:val="21"/>
        </w:rPr>
        <w:t>3</w:t>
      </w:r>
      <w:r>
        <w:rPr>
          <w:rFonts w:hint="eastAsia" w:ascii="仿宋_GB2312" w:hAnsi="仿宋_GB2312" w:eastAsia="仿宋_GB2312" w:cs="仿宋_GB2312"/>
          <w:szCs w:val="21"/>
        </w:rPr>
        <w:t xml:space="preserve">  公共基础必修课程一览表</w:t>
      </w:r>
    </w:p>
    <w:p>
      <w:pPr>
        <w:rPr>
          <w:rFonts w:ascii="仿宋_GB2312" w:hAnsi="仿宋_GB2312" w:eastAsia="仿宋_GB2312" w:cs="仿宋_GB2312"/>
          <w:sz w:val="28"/>
          <w:szCs w:val="28"/>
        </w:rPr>
      </w:pPr>
      <w:r>
        <w:rPr>
          <w:rFonts w:hint="eastAsia" w:ascii="仿宋_GB2312" w:hAnsi="仿宋_GB2312" w:eastAsia="仿宋_GB2312" w:cs="仿宋_GB2312"/>
          <w:sz w:val="28"/>
          <w:szCs w:val="28"/>
        </w:rPr>
        <w:t>（2）限定选修课</w:t>
      </w:r>
    </w:p>
    <w:tbl>
      <w:tblPr>
        <w:tblStyle w:val="11"/>
        <w:tblW w:w="9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950"/>
        <w:gridCol w:w="58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61"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课程名称</w:t>
            </w:r>
          </w:p>
        </w:tc>
        <w:tc>
          <w:tcPr>
            <w:tcW w:w="5804"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教学内容和要求</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中华优秀传统文化</w:t>
            </w:r>
          </w:p>
        </w:tc>
        <w:tc>
          <w:tcPr>
            <w:tcW w:w="5804"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传播中国传统文化，使学生体会中国传统文化的精髓，引导学生形成正确的价值观，传承和弘扬中华优秀传统文化。</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劳动教育</w:t>
            </w:r>
          </w:p>
        </w:tc>
        <w:tc>
          <w:tcPr>
            <w:tcW w:w="5804"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通过劳动体验，养成良好的劳动素养，增益学生的劳动观念、磨练意志品质，正确认识劳动价值，养成正确的劳动观。</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心理健康</w:t>
            </w:r>
          </w:p>
        </w:tc>
        <w:tc>
          <w:tcPr>
            <w:tcW w:w="5804"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结合生活实际，通过生命学、社会学知识的讲解，解决学生的心理问题，拥有健康的人生观、社会观和积极向上的生活态度。</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36</w:t>
            </w:r>
          </w:p>
        </w:tc>
      </w:tr>
    </w:tbl>
    <w:p>
      <w:pPr>
        <w:jc w:val="center"/>
        <w:rPr>
          <w:rFonts w:ascii="仿宋_GB2312" w:hAnsi="仿宋_GB2312" w:eastAsia="仿宋_GB2312" w:cs="仿宋_GB2312"/>
          <w:szCs w:val="21"/>
        </w:rPr>
      </w:pPr>
      <w:r>
        <w:rPr>
          <w:rFonts w:hint="eastAsia" w:ascii="仿宋_GB2312" w:hAnsi="仿宋_GB2312" w:eastAsia="仿宋_GB2312" w:cs="仿宋_GB2312"/>
          <w:szCs w:val="21"/>
        </w:rPr>
        <w:t>表</w:t>
      </w:r>
      <w:r>
        <w:rPr>
          <w:rFonts w:hint="eastAsia" w:ascii="仿宋_GB2312" w:hAnsi="仿宋_GB2312" w:cs="仿宋_GB2312"/>
          <w:szCs w:val="21"/>
        </w:rPr>
        <w:t>4</w:t>
      </w:r>
      <w:r>
        <w:rPr>
          <w:rFonts w:hint="eastAsia" w:ascii="仿宋_GB2312" w:hAnsi="仿宋_GB2312" w:eastAsia="仿宋_GB2312" w:cs="仿宋_GB2312"/>
          <w:szCs w:val="21"/>
        </w:rPr>
        <w:t xml:space="preserve">  公共基础选修课程一览表</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（2）任意选修课（2选1）</w:t>
      </w:r>
    </w:p>
    <w:tbl>
      <w:tblPr>
        <w:tblStyle w:val="11"/>
        <w:tblW w:w="96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1950"/>
        <w:gridCol w:w="58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761"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课程名称</w:t>
            </w:r>
          </w:p>
        </w:tc>
        <w:tc>
          <w:tcPr>
            <w:tcW w:w="5804"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教学内容和要求</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普通话</w:t>
            </w:r>
          </w:p>
        </w:tc>
        <w:tc>
          <w:tcPr>
            <w:tcW w:w="5804"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依据中等职业学校学生普通话水平要求开设，并注重在职业模块的教学内容中体现专业特色。</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1"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就业指导</w:t>
            </w:r>
          </w:p>
        </w:tc>
        <w:tc>
          <w:tcPr>
            <w:tcW w:w="5804"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对学生的职业发展进行规划与指导；帮助学生树立正确的职业观和就业观；引导学生正确认识学业和就业的关系；帮助学生顺利就业、成功就业与创业。</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36</w:t>
            </w:r>
          </w:p>
        </w:tc>
      </w:tr>
    </w:tbl>
    <w:p>
      <w:pPr>
        <w:jc w:val="center"/>
        <w:rPr>
          <w:rFonts w:ascii="仿宋_GB2312" w:hAnsi="仿宋_GB2312" w:eastAsia="仿宋_GB2312" w:cs="仿宋_GB2312"/>
          <w:sz w:val="28"/>
          <w:szCs w:val="28"/>
        </w:rPr>
      </w:pPr>
      <w:r>
        <w:rPr>
          <w:rFonts w:hint="eastAsia" w:ascii="仿宋_GB2312" w:hAnsi="仿宋_GB2312" w:eastAsia="仿宋_GB2312" w:cs="仿宋_GB2312"/>
          <w:szCs w:val="21"/>
        </w:rPr>
        <w:t>表</w:t>
      </w:r>
      <w:r>
        <w:rPr>
          <w:rFonts w:hint="eastAsia" w:ascii="仿宋_GB2312" w:hAnsi="仿宋_GB2312" w:cs="仿宋_GB2312"/>
          <w:szCs w:val="21"/>
        </w:rPr>
        <w:t>5</w:t>
      </w:r>
      <w:r>
        <w:rPr>
          <w:rFonts w:hint="eastAsia" w:ascii="仿宋_GB2312" w:hAnsi="仿宋_GB2312" w:eastAsia="仿宋_GB2312" w:cs="仿宋_GB2312"/>
          <w:szCs w:val="21"/>
        </w:rPr>
        <w:t xml:space="preserve">  公共基础选修课程一览表</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2.专业技能课程</w:t>
      </w:r>
    </w:p>
    <w:p>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（1）专业核心课</w:t>
      </w:r>
    </w:p>
    <w:tbl>
      <w:tblPr>
        <w:tblStyle w:val="11"/>
        <w:tblW w:w="96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950"/>
        <w:gridCol w:w="5804"/>
        <w:gridCol w:w="1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7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课程名称</w:t>
            </w:r>
          </w:p>
        </w:tc>
        <w:tc>
          <w:tcPr>
            <w:tcW w:w="5804"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主要教学内容和要求</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1</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汽车机械基础</w:t>
            </w:r>
          </w:p>
        </w:tc>
        <w:tc>
          <w:tcPr>
            <w:tcW w:w="5804" w:type="dxa"/>
            <w:shd w:val="clear" w:color="auto" w:fill="FFFFFF"/>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了解常用传动机构的构造、原理和液压传动相关知识；掌握汽车中常见传动机构的工作原理，具备正确识读汽车零件图的能力</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2</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汽车电工电子基础</w:t>
            </w:r>
          </w:p>
        </w:tc>
        <w:tc>
          <w:tcPr>
            <w:tcW w:w="5804" w:type="dxa"/>
            <w:shd w:val="clear" w:color="auto" w:fill="FFFFFF"/>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了解电阻、电容、电感、二极管、三极管等汽车常用电子元件的基础知识，并能进行性能检测；能够熟练运算简单的直流电路</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3</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汽车发动机构造与维修</w:t>
            </w:r>
          </w:p>
        </w:tc>
        <w:tc>
          <w:tcPr>
            <w:tcW w:w="5804" w:type="dxa"/>
            <w:shd w:val="clear" w:color="auto" w:fill="FFFFFF"/>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了解发动机的结构和工作原理，掌握发动机维护的基础知识，能够拆卸、装配和维修发动机机械部分</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4</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汽车底盘构构造与维修</w:t>
            </w:r>
          </w:p>
        </w:tc>
        <w:tc>
          <w:tcPr>
            <w:tcW w:w="5804" w:type="dxa"/>
            <w:shd w:val="clear" w:color="auto" w:fill="FFFFFF"/>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了解汽车底盘各系统、总成和部件的结构、功用，掌握底盘维护的基础知识，能够拆卸、装配和维修汽车底盘各总成机械部分</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5</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汽车电器设备构造与维修</w:t>
            </w:r>
          </w:p>
        </w:tc>
        <w:tc>
          <w:tcPr>
            <w:tcW w:w="5804" w:type="dxa"/>
            <w:shd w:val="clear" w:color="auto" w:fill="FFFFFF"/>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掌握汽车蓄电池、交流发电机与调节器、起动系统、点火系统、照明与信号系统、仪表与显示系统、等汽车电器设备的专业基础知识。同时，能够实际检测并排除汽车电器设备方面的简单故障。</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6</w:t>
            </w:r>
          </w:p>
        </w:tc>
        <w:tc>
          <w:tcPr>
            <w:tcW w:w="1950"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汽车定期维护与车轮定位</w:t>
            </w:r>
          </w:p>
        </w:tc>
        <w:tc>
          <w:tcPr>
            <w:tcW w:w="5804" w:type="dxa"/>
            <w:shd w:val="clear" w:color="auto" w:fill="FFFFFF"/>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了解汽车的类型、牌号；掌握汽车各系统与总成的名称、作用、基本结构和连接关系，能初步分析汽车基本结构；能完成新车交车前的检测（PDl检测），能完成汽车5 000 km以内的各级维护，掌握汽车相关零部件的检查和调整方法，能完成汽车40 000 km以内的维护工作，能进行车轮定位、车轮换位、汽车尾气排放检测、汽车电气系统工作情况检查等车辆维护作业，培养学生认真负责的工作态度和团队协作能力。</w:t>
            </w:r>
          </w:p>
        </w:tc>
        <w:tc>
          <w:tcPr>
            <w:tcW w:w="1108"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cs="仿宋_GB2312"/>
                <w:szCs w:val="21"/>
              </w:rPr>
              <w:t>108</w:t>
            </w:r>
          </w:p>
        </w:tc>
      </w:tr>
    </w:tbl>
    <w:p>
      <w:pPr>
        <w:numPr>
          <w:ilvl w:val="0"/>
          <w:numId w:val="1"/>
        </w:numPr>
        <w:ind w:firstLine="560" w:firstLineChars="200"/>
        <w:rPr>
          <w:rFonts w:ascii="仿宋_GB2312" w:hAnsi="仿宋_GB2312" w:eastAsia="仿宋_GB2312" w:cs="仿宋_GB2312"/>
          <w:sz w:val="28"/>
          <w:szCs w:val="28"/>
        </w:rPr>
      </w:pPr>
      <w:bookmarkStart w:id="59" w:name="_Toc22788"/>
      <w:r>
        <w:rPr>
          <w:rFonts w:hint="eastAsia" w:ascii="仿宋_GB2312" w:hAnsi="仿宋_GB2312" w:eastAsia="仿宋_GB2312" w:cs="仿宋_GB2312"/>
          <w:sz w:val="28"/>
          <w:szCs w:val="28"/>
        </w:rPr>
        <w:t>专业（技能）方向课</w:t>
      </w:r>
      <w:bookmarkEnd w:id="59"/>
    </w:p>
    <w:p>
      <w:pPr>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①专业技能方向1——汽车整车与配件销售</w:t>
      </w:r>
    </w:p>
    <w:tbl>
      <w:tblPr>
        <w:tblStyle w:val="11"/>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1813"/>
        <w:gridCol w:w="5480"/>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blHeader/>
          <w:jc w:val="center"/>
        </w:trPr>
        <w:tc>
          <w:tcPr>
            <w:tcW w:w="787"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181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课程名称</w:t>
            </w:r>
          </w:p>
        </w:tc>
        <w:tc>
          <w:tcPr>
            <w:tcW w:w="548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主要教学内容和要求</w:t>
            </w:r>
          </w:p>
        </w:tc>
        <w:tc>
          <w:tcPr>
            <w:tcW w:w="1208"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87"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81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汽车配件营销与管理</w:t>
            </w:r>
          </w:p>
        </w:tc>
        <w:tc>
          <w:tcPr>
            <w:tcW w:w="5480"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了解汽车配件的规格、分类</w:t>
            </w:r>
          </w:p>
          <w:p>
            <w:pPr>
              <w:jc w:val="left"/>
              <w:rPr>
                <w:rFonts w:ascii="仿宋_GB2312" w:hAnsi="仿宋_GB2312" w:eastAsia="仿宋_GB2312" w:cs="仿宋_GB2312"/>
                <w:szCs w:val="21"/>
              </w:rPr>
            </w:pPr>
            <w:r>
              <w:rPr>
                <w:rFonts w:hint="eastAsia" w:ascii="仿宋_GB2312" w:hAnsi="仿宋_GB2312" w:eastAsia="仿宋_GB2312" w:cs="仿宋_GB2312"/>
                <w:szCs w:val="21"/>
              </w:rPr>
              <w:t>了解汽车配件的仓储及物流知识</w:t>
            </w:r>
          </w:p>
          <w:p>
            <w:pPr>
              <w:jc w:val="left"/>
              <w:rPr>
                <w:rFonts w:ascii="仿宋_GB2312" w:hAnsi="仿宋_GB2312" w:eastAsia="仿宋_GB2312" w:cs="仿宋_GB2312"/>
                <w:szCs w:val="21"/>
              </w:rPr>
            </w:pPr>
            <w:r>
              <w:rPr>
                <w:rFonts w:hint="eastAsia" w:ascii="仿宋_GB2312" w:hAnsi="仿宋_GB2312" w:eastAsia="仿宋_GB2312" w:cs="仿宋_GB2312"/>
                <w:szCs w:val="21"/>
              </w:rPr>
              <w:t>会汽车配件编码查询、订货与采购、汽车配件出入库管理、库存管理。</w:t>
            </w:r>
          </w:p>
          <w:p>
            <w:pPr>
              <w:jc w:val="left"/>
              <w:rPr>
                <w:rFonts w:ascii="仿宋_GB2312" w:hAnsi="仿宋_GB2312" w:eastAsia="仿宋_GB2312" w:cs="仿宋_GB2312"/>
                <w:szCs w:val="21"/>
              </w:rPr>
            </w:pPr>
            <w:r>
              <w:rPr>
                <w:rFonts w:hint="eastAsia" w:ascii="仿宋_GB2312" w:hAnsi="仿宋_GB2312" w:eastAsia="仿宋_GB2312" w:cs="仿宋_GB2312"/>
                <w:szCs w:val="21"/>
              </w:rPr>
              <w:t>能够进行汽车配件仓储设计、汽车配件营销。</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掌握汽车配件管理与营销实训技巧</w:t>
            </w:r>
          </w:p>
        </w:tc>
        <w:tc>
          <w:tcPr>
            <w:tcW w:w="1208"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87"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81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汽车商务礼仪</w:t>
            </w:r>
          </w:p>
        </w:tc>
        <w:tc>
          <w:tcPr>
            <w:tcW w:w="5480"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掌握商务活动中商务礼仪的基本知识</w:t>
            </w:r>
          </w:p>
          <w:p>
            <w:pPr>
              <w:jc w:val="left"/>
              <w:rPr>
                <w:rFonts w:ascii="仿宋_GB2312" w:hAnsi="仿宋_GB2312" w:eastAsia="仿宋_GB2312" w:cs="仿宋_GB2312"/>
                <w:szCs w:val="21"/>
              </w:rPr>
            </w:pPr>
            <w:r>
              <w:rPr>
                <w:rFonts w:hint="eastAsia" w:ascii="仿宋_GB2312" w:hAnsi="仿宋_GB2312" w:eastAsia="仿宋_GB2312" w:cs="仿宋_GB2312"/>
                <w:szCs w:val="21"/>
              </w:rPr>
              <w:t>了解商务礼仪的基本理论</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掌握商务礼仪实训技巧</w:t>
            </w:r>
          </w:p>
        </w:tc>
        <w:tc>
          <w:tcPr>
            <w:tcW w:w="1208"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87"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3</w:t>
            </w:r>
          </w:p>
        </w:tc>
        <w:tc>
          <w:tcPr>
            <w:tcW w:w="1813" w:type="dxa"/>
            <w:shd w:val="clear" w:color="auto" w:fill="FFFFFF"/>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汽车配件基础</w:t>
            </w:r>
          </w:p>
        </w:tc>
        <w:tc>
          <w:tcPr>
            <w:tcW w:w="5480" w:type="dxa"/>
            <w:shd w:val="clear" w:color="auto" w:fill="FFFFFF"/>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掌握有关汽车各大总成件、部件的名称作用、结构形式、性能要求、安装位置。</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掌握零部件的装配关系，使用材料，零件磨损、消耗情况以及配件编号，</w:t>
            </w:r>
          </w:p>
          <w:p>
            <w:pPr>
              <w:jc w:val="left"/>
              <w:rPr>
                <w:rFonts w:ascii="仿宋_GB2312" w:hAnsi="仿宋_GB2312" w:cs="仿宋_GB2312"/>
                <w:szCs w:val="21"/>
              </w:rPr>
            </w:pPr>
            <w:r>
              <w:rPr>
                <w:rFonts w:hint="eastAsia" w:ascii="仿宋_GB2312" w:hAnsi="仿宋_GB2312" w:eastAsia="仿宋_GB2312" w:cs="仿宋_GB2312"/>
                <w:szCs w:val="21"/>
              </w:rPr>
              <w:t>掌握零配件仓储管理、养护等内容。</w:t>
            </w:r>
          </w:p>
        </w:tc>
        <w:tc>
          <w:tcPr>
            <w:tcW w:w="1208"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7"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4</w:t>
            </w:r>
          </w:p>
        </w:tc>
        <w:tc>
          <w:tcPr>
            <w:tcW w:w="181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汽车营销实务</w:t>
            </w:r>
          </w:p>
        </w:tc>
        <w:tc>
          <w:tcPr>
            <w:tcW w:w="5480"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熟练掌握汽车产品知识和接待顾客的礼仪规范。</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掌握汽车顾问式销售的流程和技巧，能熟练地完成整个销售流程，增强客户对产品的购买信心。</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掌握处理客户异议的技巧，具备应对不同客户的不同异议的能力以及一定的组织协调能力，能与企业不同部门的同事协作处理客户问题。</w:t>
            </w:r>
          </w:p>
          <w:p>
            <w:pPr>
              <w:jc w:val="left"/>
              <w:rPr>
                <w:rFonts w:ascii="仿宋_GB2312" w:hAnsi="仿宋_GB2312" w:eastAsia="仿宋_GB2312" w:cs="仿宋_GB2312"/>
                <w:szCs w:val="21"/>
              </w:rPr>
            </w:pPr>
            <w:r>
              <w:rPr>
                <w:rFonts w:hint="eastAsia" w:ascii="仿宋_GB2312" w:hAnsi="仿宋_GB2312" w:eastAsia="仿宋_GB2312" w:cs="仿宋_GB2312"/>
                <w:szCs w:val="21"/>
              </w:rPr>
              <w:t>能履行汽车销售岗位的工作职责并养成正确规范操作的职业习惯。</w:t>
            </w:r>
          </w:p>
          <w:p>
            <w:pPr>
              <w:jc w:val="left"/>
              <w:rPr>
                <w:rFonts w:ascii="仿宋_GB2312" w:hAnsi="仿宋_GB2312" w:eastAsia="仿宋_GB2312" w:cs="仿宋_GB2312"/>
                <w:szCs w:val="21"/>
              </w:rPr>
            </w:pPr>
            <w:r>
              <w:rPr>
                <w:rFonts w:hint="eastAsia" w:ascii="仿宋_GB2312" w:hAnsi="仿宋_GB2312" w:eastAsia="仿宋_GB2312" w:cs="仿宋_GB2312"/>
                <w:szCs w:val="21"/>
              </w:rPr>
              <w:t>具有良好的道德品质、法律意识和诚实、守信的职业道德；具有一定的创业能力和创新精神。</w:t>
            </w:r>
          </w:p>
        </w:tc>
        <w:tc>
          <w:tcPr>
            <w:tcW w:w="1208"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72</w:t>
            </w:r>
          </w:p>
        </w:tc>
      </w:tr>
    </w:tbl>
    <w:p>
      <w:pPr>
        <w:spacing w:line="560" w:lineRule="exact"/>
        <w:ind w:firstLine="560" w:firstLineChars="200"/>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②专业技能方向2——车辆查勘定损及保险理赔</w:t>
      </w:r>
    </w:p>
    <w:tbl>
      <w:tblPr>
        <w:tblStyle w:val="11"/>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93"/>
        <w:gridCol w:w="1789"/>
        <w:gridCol w:w="5416"/>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85" w:hRule="atLeast"/>
          <w:tblHeader/>
          <w:jc w:val="center"/>
        </w:trPr>
        <w:tc>
          <w:tcPr>
            <w:tcW w:w="79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178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课程名称</w:t>
            </w:r>
          </w:p>
        </w:tc>
        <w:tc>
          <w:tcPr>
            <w:tcW w:w="5416"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主要教学内容和要求</w:t>
            </w:r>
          </w:p>
        </w:tc>
        <w:tc>
          <w:tcPr>
            <w:tcW w:w="129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71" w:hRule="atLeast"/>
          <w:jc w:val="center"/>
        </w:trPr>
        <w:tc>
          <w:tcPr>
            <w:tcW w:w="793"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1</w:t>
            </w:r>
          </w:p>
        </w:tc>
        <w:tc>
          <w:tcPr>
            <w:tcW w:w="178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二手车鉴定与评估</w:t>
            </w:r>
          </w:p>
        </w:tc>
        <w:tc>
          <w:tcPr>
            <w:tcW w:w="5416"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能对旧机动车进行定价</w:t>
            </w:r>
          </w:p>
          <w:p>
            <w:pPr>
              <w:jc w:val="left"/>
              <w:rPr>
                <w:rFonts w:ascii="仿宋_GB2312" w:hAnsi="仿宋_GB2312" w:eastAsia="仿宋_GB2312" w:cs="仿宋_GB2312"/>
                <w:szCs w:val="21"/>
              </w:rPr>
            </w:pPr>
            <w:r>
              <w:rPr>
                <w:rFonts w:hint="eastAsia" w:ascii="仿宋_GB2312" w:hAnsi="仿宋_GB2312" w:eastAsia="仿宋_GB2312" w:cs="仿宋_GB2312"/>
                <w:szCs w:val="21"/>
              </w:rPr>
              <w:t>能够鉴定车辆是否为事故车辆</w:t>
            </w:r>
          </w:p>
          <w:p>
            <w:pPr>
              <w:jc w:val="left"/>
              <w:rPr>
                <w:rFonts w:ascii="仿宋_GB2312" w:hAnsi="仿宋_GB2312" w:eastAsia="仿宋_GB2312" w:cs="仿宋_GB2312"/>
                <w:szCs w:val="21"/>
              </w:rPr>
            </w:pPr>
            <w:r>
              <w:rPr>
                <w:rFonts w:hint="eastAsia" w:ascii="仿宋_GB2312" w:hAnsi="仿宋_GB2312" w:eastAsia="仿宋_GB2312" w:cs="仿宋_GB2312"/>
                <w:szCs w:val="21"/>
              </w:rPr>
              <w:t>能够判定车辆的各项性能指标是否合乎要求</w:t>
            </w:r>
          </w:p>
          <w:p>
            <w:pPr>
              <w:jc w:val="left"/>
              <w:rPr>
                <w:rFonts w:ascii="仿宋_GB2312" w:hAnsi="仿宋_GB2312" w:eastAsia="仿宋_GB2312" w:cs="仿宋_GB2312"/>
                <w:szCs w:val="21"/>
              </w:rPr>
            </w:pPr>
            <w:r>
              <w:rPr>
                <w:rFonts w:hint="eastAsia" w:ascii="仿宋_GB2312" w:hAnsi="仿宋_GB2312" w:eastAsia="仿宋_GB2312" w:cs="仿宋_GB2312"/>
                <w:szCs w:val="21"/>
              </w:rPr>
              <w:t>了解国内二手车市场的发展现状</w:t>
            </w:r>
          </w:p>
          <w:p>
            <w:pPr>
              <w:jc w:val="left"/>
              <w:rPr>
                <w:rFonts w:ascii="仿宋_GB2312" w:hAnsi="仿宋_GB2312" w:eastAsia="仿宋_GB2312" w:cs="仿宋_GB2312"/>
                <w:szCs w:val="21"/>
              </w:rPr>
            </w:pPr>
            <w:r>
              <w:rPr>
                <w:rFonts w:hint="eastAsia" w:ascii="仿宋_GB2312" w:hAnsi="仿宋_GB2312" w:eastAsia="仿宋_GB2312" w:cs="仿宋_GB2312"/>
                <w:szCs w:val="21"/>
              </w:rPr>
              <w:t>了解国内二手车市场运作的实际状况和具体操作方法</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掌握二手车鉴定与评估实训技巧</w:t>
            </w:r>
          </w:p>
        </w:tc>
        <w:tc>
          <w:tcPr>
            <w:tcW w:w="1290"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81" w:hRule="atLeast"/>
          <w:jc w:val="center"/>
        </w:trPr>
        <w:tc>
          <w:tcPr>
            <w:tcW w:w="793"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2</w:t>
            </w:r>
          </w:p>
        </w:tc>
        <w:tc>
          <w:tcPr>
            <w:tcW w:w="178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汽车保险与理赔</w:t>
            </w:r>
          </w:p>
          <w:p>
            <w:pPr>
              <w:jc w:val="center"/>
              <w:rPr>
                <w:rFonts w:ascii="仿宋_GB2312" w:hAnsi="仿宋_GB2312" w:eastAsia="仿宋_GB2312" w:cs="仿宋_GB2312"/>
                <w:szCs w:val="21"/>
              </w:rPr>
            </w:pPr>
          </w:p>
        </w:tc>
        <w:tc>
          <w:tcPr>
            <w:tcW w:w="5416"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了解汽车保险的合同与原则</w:t>
            </w:r>
          </w:p>
          <w:p>
            <w:pPr>
              <w:jc w:val="left"/>
              <w:rPr>
                <w:rFonts w:ascii="仿宋_GB2312" w:hAnsi="仿宋_GB2312" w:eastAsia="仿宋_GB2312" w:cs="仿宋_GB2312"/>
                <w:szCs w:val="21"/>
              </w:rPr>
            </w:pPr>
            <w:r>
              <w:rPr>
                <w:rFonts w:hint="eastAsia" w:ascii="仿宋_GB2312" w:hAnsi="仿宋_GB2312" w:eastAsia="仿宋_GB2312" w:cs="仿宋_GB2312"/>
                <w:szCs w:val="21"/>
              </w:rPr>
              <w:t>熟悉汽车保险产品，汽车保险的承诺与实务，汽车保险的理赔实务，汽车保险的损失评估与风险控制等。</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掌握汽车保险查勘定损核赔核保的方法与原则</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掌握汽车保险理赔实训技巧</w:t>
            </w:r>
          </w:p>
        </w:tc>
        <w:tc>
          <w:tcPr>
            <w:tcW w:w="1290"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81" w:hRule="atLeast"/>
          <w:jc w:val="center"/>
        </w:trPr>
        <w:tc>
          <w:tcPr>
            <w:tcW w:w="793"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3</w:t>
            </w:r>
          </w:p>
        </w:tc>
        <w:tc>
          <w:tcPr>
            <w:tcW w:w="178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汽车保险法规</w:t>
            </w:r>
          </w:p>
        </w:tc>
        <w:tc>
          <w:tcPr>
            <w:tcW w:w="5416"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掌握汽车保险法律法规基本理论和基本知识</w:t>
            </w:r>
          </w:p>
          <w:p>
            <w:pPr>
              <w:jc w:val="left"/>
              <w:rPr>
                <w:rFonts w:ascii="仿宋_GB2312" w:hAnsi="仿宋_GB2312" w:eastAsia="仿宋_GB2312" w:cs="仿宋_GB2312"/>
                <w:szCs w:val="21"/>
              </w:rPr>
            </w:pPr>
            <w:r>
              <w:rPr>
                <w:rFonts w:hint="eastAsia" w:ascii="仿宋_GB2312" w:hAnsi="仿宋_GB2312" w:eastAsia="仿宋_GB2312" w:cs="仿宋_GB2312"/>
                <w:szCs w:val="21"/>
              </w:rPr>
              <w:t>能够分析保险活动的实际问题。</w:t>
            </w:r>
          </w:p>
          <w:p>
            <w:pPr>
              <w:jc w:val="left"/>
              <w:rPr>
                <w:rFonts w:ascii="仿宋_GB2312" w:hAnsi="仿宋_GB2312" w:eastAsia="仿宋_GB2312" w:cs="仿宋_GB2312"/>
                <w:szCs w:val="21"/>
              </w:rPr>
            </w:pPr>
            <w:r>
              <w:rPr>
                <w:rFonts w:hint="eastAsia" w:ascii="仿宋_GB2312" w:hAnsi="仿宋_GB2312" w:eastAsia="仿宋_GB2312" w:cs="仿宋_GB2312"/>
                <w:szCs w:val="21"/>
              </w:rPr>
              <w:t>能够分析汽车法律法规体系，会选择相应法律法规应对保险纠纷，</w:t>
            </w:r>
          </w:p>
          <w:p>
            <w:pPr>
              <w:jc w:val="left"/>
              <w:rPr>
                <w:rFonts w:ascii="仿宋_GB2312" w:hAnsi="仿宋_GB2312" w:eastAsia="仿宋_GB2312" w:cs="仿宋_GB2312"/>
                <w:szCs w:val="21"/>
              </w:rPr>
            </w:pPr>
            <w:r>
              <w:rPr>
                <w:rFonts w:hint="eastAsia" w:ascii="仿宋_GB2312" w:hAnsi="仿宋_GB2312" w:eastAsia="仿宋_GB2312" w:cs="仿宋_GB2312"/>
                <w:szCs w:val="21"/>
              </w:rPr>
              <w:t>能够分析汽车法律法规体系，应用法律条款确定保险损失</w:t>
            </w:r>
          </w:p>
        </w:tc>
        <w:tc>
          <w:tcPr>
            <w:tcW w:w="1290" w:type="dxa"/>
            <w:vAlign w:val="center"/>
          </w:tcPr>
          <w:p>
            <w:pPr>
              <w:jc w:val="center"/>
              <w:rPr>
                <w:rFonts w:ascii="仿宋_GB2312" w:hAnsi="仿宋_GB2312" w:cs="仿宋_GB2312"/>
                <w:szCs w:val="21"/>
              </w:rPr>
            </w:pPr>
            <w:r>
              <w:rPr>
                <w:rFonts w:hint="eastAsia" w:ascii="仿宋_GB2312" w:hAnsi="仿宋_GB2312" w:cs="仿宋_GB2312"/>
                <w:szCs w:val="21"/>
              </w:rPr>
              <w:t>72</w:t>
            </w:r>
          </w:p>
        </w:tc>
      </w:tr>
    </w:tbl>
    <w:p>
      <w:pPr>
        <w:ind w:firstLine="560" w:firstLineChars="200"/>
        <w:rPr>
          <w:rFonts w:ascii="仿宋_GB2312" w:hAnsi="仿宋_GB2312" w:eastAsia="仿宋_GB2312" w:cs="仿宋_GB2312"/>
          <w:sz w:val="28"/>
          <w:szCs w:val="28"/>
        </w:rPr>
      </w:pPr>
      <w:r>
        <w:rPr>
          <w:rFonts w:hint="eastAsia" w:ascii="仿宋_GB2312" w:hAnsi="仿宋_GB2312" w:cs="仿宋_GB2312"/>
          <w:sz w:val="28"/>
          <w:szCs w:val="28"/>
        </w:rPr>
        <w:t>（3）</w:t>
      </w:r>
      <w:r>
        <w:rPr>
          <w:rFonts w:hint="eastAsia" w:ascii="仿宋_GB2312" w:hAnsi="仿宋_GB2312" w:eastAsia="仿宋_GB2312" w:cs="仿宋_GB2312"/>
          <w:sz w:val="28"/>
          <w:szCs w:val="28"/>
        </w:rPr>
        <w:t>专业选修课（4选2）</w:t>
      </w:r>
    </w:p>
    <w:tbl>
      <w:tblPr>
        <w:tblStyle w:val="11"/>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93"/>
        <w:gridCol w:w="1789"/>
        <w:gridCol w:w="5416"/>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488" w:hRule="atLeast"/>
          <w:tblHeader/>
          <w:jc w:val="center"/>
        </w:trPr>
        <w:tc>
          <w:tcPr>
            <w:tcW w:w="79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178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课程名称</w:t>
            </w:r>
          </w:p>
        </w:tc>
        <w:tc>
          <w:tcPr>
            <w:tcW w:w="5416"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主要教学内容和要求</w:t>
            </w:r>
          </w:p>
        </w:tc>
        <w:tc>
          <w:tcPr>
            <w:tcW w:w="129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79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789"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汽车机械识图</w:t>
            </w:r>
          </w:p>
        </w:tc>
        <w:tc>
          <w:tcPr>
            <w:tcW w:w="5416"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学习正投影的基本原理、图示方法和国家制图标准。使学生具有一定的空间想象能力，能正确阅读中等复杂程度的零件图和装配图，能够绘制简单的零件图，具有使用常用绘图工具绘制草图的基本技能。</w:t>
            </w:r>
          </w:p>
        </w:tc>
        <w:tc>
          <w:tcPr>
            <w:tcW w:w="1290"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53" w:hRule="atLeast"/>
          <w:jc w:val="center"/>
        </w:trPr>
        <w:tc>
          <w:tcPr>
            <w:tcW w:w="79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2</w:t>
            </w:r>
          </w:p>
        </w:tc>
        <w:tc>
          <w:tcPr>
            <w:tcW w:w="1789"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汽车文化</w:t>
            </w:r>
          </w:p>
        </w:tc>
        <w:tc>
          <w:tcPr>
            <w:tcW w:w="5416"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扩展专业知识激发专业兴趣</w:t>
            </w:r>
          </w:p>
          <w:p>
            <w:pPr>
              <w:jc w:val="left"/>
              <w:rPr>
                <w:rFonts w:ascii="仿宋_GB2312" w:hAnsi="仿宋_GB2312" w:eastAsia="仿宋_GB2312" w:cs="仿宋_GB2312"/>
                <w:szCs w:val="21"/>
              </w:rPr>
            </w:pPr>
            <w:r>
              <w:rPr>
                <w:rFonts w:hint="eastAsia" w:ascii="仿宋_GB2312" w:hAnsi="仿宋_GB2312" w:eastAsia="仿宋_GB2312" w:cs="仿宋_GB2312"/>
                <w:szCs w:val="21"/>
              </w:rPr>
              <w:t>增强对汽车的了解提高汽车鉴赏能力</w:t>
            </w:r>
          </w:p>
        </w:tc>
        <w:tc>
          <w:tcPr>
            <w:tcW w:w="1290"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79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3</w:t>
            </w:r>
          </w:p>
        </w:tc>
        <w:tc>
          <w:tcPr>
            <w:tcW w:w="1789"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新能源汽车结构与检修</w:t>
            </w:r>
          </w:p>
        </w:tc>
        <w:tc>
          <w:tcPr>
            <w:tcW w:w="5416"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在相关课程的基础上，了解燃气汽车、燃料电池汽车、纯电动汽车、液化石油气汽车、混合动力汽车的特点、类型；掌握常见新能源汽车的结构和工作原理；熟悉燃气汽车、纯电动汽车、混合动力汽车的检修流程；能使用专用工具、设备检测燃气汽车、纯电动汽车、混合动力汽车的动力总成。</w:t>
            </w:r>
          </w:p>
        </w:tc>
        <w:tc>
          <w:tcPr>
            <w:tcW w:w="1290" w:type="dxa"/>
            <w:vAlign w:val="center"/>
          </w:tcPr>
          <w:p>
            <w:pPr>
              <w:jc w:val="center"/>
              <w:rPr>
                <w:rFonts w:ascii="仿宋_GB2312" w:hAnsi="仿宋_GB2312" w:cs="仿宋_GB2312"/>
                <w:szCs w:val="21"/>
              </w:rPr>
            </w:pPr>
            <w:r>
              <w:rPr>
                <w:rFonts w:hint="eastAsia" w:ascii="仿宋_GB2312" w:hAnsi="仿宋_GB2312" w:cs="仿宋_GB2312"/>
                <w:szCs w:val="21"/>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90" w:hRule="atLeast"/>
          <w:jc w:val="center"/>
        </w:trPr>
        <w:tc>
          <w:tcPr>
            <w:tcW w:w="793"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4</w:t>
            </w:r>
          </w:p>
        </w:tc>
        <w:tc>
          <w:tcPr>
            <w:tcW w:w="1789"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汽车概论</w:t>
            </w:r>
          </w:p>
        </w:tc>
        <w:tc>
          <w:tcPr>
            <w:tcW w:w="5416" w:type="dxa"/>
            <w:vAlign w:val="center"/>
          </w:tcPr>
          <w:p>
            <w:pPr>
              <w:pStyle w:val="8"/>
              <w:widowControl/>
              <w:rPr>
                <w:rFonts w:hint="default" w:ascii="仿宋_GB2312" w:hAnsi="仿宋_GB2312" w:eastAsia="仿宋_GB2312" w:cs="仿宋_GB2312"/>
                <w:kern w:val="2"/>
                <w:sz w:val="21"/>
                <w:szCs w:val="21"/>
              </w:rPr>
            </w:pPr>
            <w:r>
              <w:rPr>
                <w:rFonts w:ascii="仿宋_GB2312" w:hAnsi="仿宋_GB2312" w:eastAsia="仿宋_GB2312" w:cs="仿宋_GB2312"/>
                <w:kern w:val="2"/>
                <w:sz w:val="21"/>
                <w:szCs w:val="21"/>
              </w:rPr>
              <w:t>了解汽车传动系统、行驶系统、转向系统、制动系统、车身、仪表、照明及附属装置等的构造和工作原理；</w:t>
            </w:r>
          </w:p>
          <w:p>
            <w:pPr>
              <w:jc w:val="left"/>
              <w:rPr>
                <w:rFonts w:ascii="仿宋_GB2312" w:hAnsi="仿宋_GB2312" w:eastAsia="仿宋_GB2312" w:cs="仿宋_GB2312"/>
                <w:szCs w:val="21"/>
              </w:rPr>
            </w:pPr>
            <w:r>
              <w:rPr>
                <w:rFonts w:hint="eastAsia" w:ascii="仿宋_GB2312" w:hAnsi="仿宋_GB2312" w:eastAsia="仿宋_GB2312" w:cs="仿宋_GB2312"/>
                <w:szCs w:val="21"/>
              </w:rPr>
              <w:t>对汽车各总成的观察及拆卸有初步的认识和了解。</w:t>
            </w:r>
          </w:p>
        </w:tc>
        <w:tc>
          <w:tcPr>
            <w:tcW w:w="1290" w:type="dxa"/>
            <w:vAlign w:val="center"/>
          </w:tcPr>
          <w:p>
            <w:pPr>
              <w:jc w:val="center"/>
              <w:rPr>
                <w:rFonts w:ascii="仿宋_GB2312" w:hAnsi="仿宋_GB2312" w:cs="仿宋_GB2312"/>
                <w:szCs w:val="21"/>
              </w:rPr>
            </w:pPr>
            <w:r>
              <w:rPr>
                <w:rFonts w:hint="eastAsia" w:ascii="仿宋_GB2312" w:hAnsi="仿宋_GB2312" w:cs="仿宋_GB2312"/>
                <w:szCs w:val="21"/>
              </w:rPr>
              <w:t>72</w:t>
            </w:r>
          </w:p>
        </w:tc>
      </w:tr>
    </w:tbl>
    <w:p>
      <w:pPr>
        <w:jc w:val="center"/>
        <w:rPr>
          <w:rFonts w:ascii="仿宋_GB2312" w:hAnsi="仿宋_GB2312" w:eastAsia="仿宋_GB2312" w:cs="仿宋_GB2312"/>
          <w:szCs w:val="21"/>
        </w:rPr>
      </w:pPr>
      <w:r>
        <w:rPr>
          <w:rFonts w:hint="eastAsia" w:ascii="仿宋_GB2312" w:hAnsi="仿宋_GB2312" w:eastAsia="仿宋_GB2312" w:cs="仿宋_GB2312"/>
          <w:szCs w:val="21"/>
        </w:rPr>
        <w:t>表9专业选修课程一览表</w:t>
      </w:r>
    </w:p>
    <w:p>
      <w:pPr>
        <w:ind w:firstLine="560" w:firstLineChars="200"/>
        <w:rPr>
          <w:rFonts w:ascii="仿宋_GB2312" w:hAnsi="仿宋_GB2312" w:eastAsia="仿宋_GB2312" w:cs="仿宋_GB2312"/>
          <w:sz w:val="28"/>
          <w:szCs w:val="28"/>
        </w:rPr>
      </w:pPr>
      <w:r>
        <w:rPr>
          <w:rFonts w:hint="eastAsia" w:ascii="仿宋_GB2312" w:hAnsi="仿宋_GB2312" w:cs="仿宋_GB2312"/>
          <w:sz w:val="28"/>
          <w:szCs w:val="28"/>
        </w:rPr>
        <w:t>（4）</w:t>
      </w:r>
      <w:r>
        <w:rPr>
          <w:rFonts w:hint="eastAsia" w:ascii="仿宋_GB2312" w:hAnsi="仿宋_GB2312" w:eastAsia="仿宋_GB2312" w:cs="仿宋_GB2312"/>
          <w:sz w:val="28"/>
          <w:szCs w:val="28"/>
        </w:rPr>
        <w:t>技能方向综合实训</w:t>
      </w:r>
    </w:p>
    <w:tbl>
      <w:tblPr>
        <w:tblStyle w:val="11"/>
        <w:tblW w:w="92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70" w:type="dxa"/>
          <w:left w:w="108" w:type="dxa"/>
          <w:bottom w:w="170" w:type="dxa"/>
          <w:right w:w="108" w:type="dxa"/>
        </w:tblCellMar>
      </w:tblPr>
      <w:tblGrid>
        <w:gridCol w:w="801"/>
        <w:gridCol w:w="1799"/>
        <w:gridCol w:w="5398"/>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257" w:hRule="atLeast"/>
          <w:tblHeader/>
          <w:jc w:val="center"/>
        </w:trPr>
        <w:tc>
          <w:tcPr>
            <w:tcW w:w="80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序号</w:t>
            </w:r>
          </w:p>
        </w:tc>
        <w:tc>
          <w:tcPr>
            <w:tcW w:w="179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课程名称</w:t>
            </w:r>
          </w:p>
        </w:tc>
        <w:tc>
          <w:tcPr>
            <w:tcW w:w="5398"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主要教学内容和要求</w:t>
            </w:r>
          </w:p>
        </w:tc>
        <w:tc>
          <w:tcPr>
            <w:tcW w:w="1290"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参考学时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956" w:hRule="atLeast"/>
          <w:jc w:val="center"/>
        </w:trPr>
        <w:tc>
          <w:tcPr>
            <w:tcW w:w="801"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1</w:t>
            </w:r>
          </w:p>
        </w:tc>
        <w:tc>
          <w:tcPr>
            <w:tcW w:w="179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汽车商务礼仪实训</w:t>
            </w:r>
          </w:p>
        </w:tc>
        <w:tc>
          <w:tcPr>
            <w:tcW w:w="5398"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掌握服务礼仪的规范，并促进行为及是调整。</w:t>
            </w:r>
          </w:p>
          <w:p>
            <w:pPr>
              <w:jc w:val="left"/>
              <w:rPr>
                <w:rFonts w:ascii="仿宋_GB2312" w:hAnsi="仿宋_GB2312" w:eastAsia="仿宋_GB2312" w:cs="仿宋_GB2312"/>
                <w:szCs w:val="21"/>
              </w:rPr>
            </w:pPr>
            <w:r>
              <w:rPr>
                <w:rFonts w:hint="eastAsia" w:ascii="仿宋_GB2312" w:hAnsi="仿宋_GB2312" w:eastAsia="仿宋_GB2312" w:cs="仿宋_GB2312"/>
                <w:szCs w:val="21"/>
              </w:rPr>
              <w:t>能够将一言一行等神态举止，体现公司客户服务的各类举措</w:t>
            </w:r>
          </w:p>
          <w:p>
            <w:pPr>
              <w:jc w:val="left"/>
              <w:rPr>
                <w:rFonts w:ascii="仿宋_GB2312" w:hAnsi="仿宋_GB2312" w:eastAsia="仿宋_GB2312" w:cs="仿宋_GB2312"/>
                <w:szCs w:val="21"/>
              </w:rPr>
            </w:pPr>
            <w:r>
              <w:rPr>
                <w:rFonts w:hint="eastAsia" w:ascii="仿宋_GB2312" w:hAnsi="仿宋_GB2312" w:eastAsia="仿宋_GB2312" w:cs="仿宋_GB2312"/>
                <w:szCs w:val="21"/>
              </w:rPr>
              <w:t>参与公司服务管理与创新，全方位提高客户满意度</w:t>
            </w:r>
          </w:p>
        </w:tc>
        <w:tc>
          <w:tcPr>
            <w:tcW w:w="1290"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580" w:hRule="atLeast"/>
          <w:jc w:val="center"/>
        </w:trPr>
        <w:tc>
          <w:tcPr>
            <w:tcW w:w="801"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2</w:t>
            </w:r>
          </w:p>
        </w:tc>
        <w:tc>
          <w:tcPr>
            <w:tcW w:w="179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汽车配件管理与营销实训</w:t>
            </w:r>
          </w:p>
        </w:tc>
        <w:tc>
          <w:tcPr>
            <w:tcW w:w="5398"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掌握汽车配件营销的知识和技能</w:t>
            </w:r>
          </w:p>
          <w:p>
            <w:pPr>
              <w:jc w:val="left"/>
              <w:rPr>
                <w:rFonts w:ascii="仿宋_GB2312" w:hAnsi="仿宋_GB2312" w:eastAsia="仿宋_GB2312" w:cs="仿宋_GB2312"/>
                <w:szCs w:val="21"/>
              </w:rPr>
            </w:pPr>
            <w:r>
              <w:rPr>
                <w:rFonts w:hint="eastAsia" w:ascii="仿宋_GB2312" w:hAnsi="仿宋_GB2312" w:eastAsia="仿宋_GB2312" w:cs="仿宋_GB2312"/>
                <w:szCs w:val="21"/>
              </w:rPr>
              <w:t>通过软件实训实际操作，掌握实际入库、出库、盘点等相关工作</w:t>
            </w:r>
          </w:p>
        </w:tc>
        <w:tc>
          <w:tcPr>
            <w:tcW w:w="1290" w:type="dxa"/>
            <w:vAlign w:val="center"/>
          </w:tcPr>
          <w:p>
            <w:pPr>
              <w:jc w:val="center"/>
              <w:rPr>
                <w:rFonts w:ascii="仿宋_GB2312" w:hAnsi="仿宋_GB2312" w:cs="仿宋_GB2312"/>
                <w:szCs w:val="21"/>
              </w:rPr>
            </w:pPr>
            <w:r>
              <w:rPr>
                <w:rFonts w:hint="eastAsia" w:ascii="仿宋_GB2312" w:hAnsi="仿宋_GB2312" w:cs="仿宋_GB2312"/>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90" w:hRule="atLeast"/>
          <w:jc w:val="center"/>
        </w:trPr>
        <w:tc>
          <w:tcPr>
            <w:tcW w:w="801"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3</w:t>
            </w:r>
          </w:p>
        </w:tc>
        <w:tc>
          <w:tcPr>
            <w:tcW w:w="179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汽车营销实训</w:t>
            </w:r>
          </w:p>
        </w:tc>
        <w:tc>
          <w:tcPr>
            <w:tcW w:w="5398"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具备汽车营销礼仪和沟通能力</w:t>
            </w:r>
          </w:p>
          <w:p>
            <w:pPr>
              <w:jc w:val="left"/>
              <w:rPr>
                <w:rFonts w:ascii="仿宋_GB2312" w:hAnsi="仿宋_GB2312" w:eastAsia="仿宋_GB2312" w:cs="仿宋_GB2312"/>
                <w:szCs w:val="21"/>
              </w:rPr>
            </w:pPr>
            <w:r>
              <w:rPr>
                <w:rFonts w:hint="eastAsia" w:ascii="仿宋_GB2312" w:hAnsi="仿宋_GB2312" w:eastAsia="仿宋_GB2312" w:cs="仿宋_GB2312"/>
                <w:szCs w:val="21"/>
              </w:rPr>
              <w:t>具备汽车市场调研、汽车营销策划能力</w:t>
            </w:r>
          </w:p>
          <w:p>
            <w:pPr>
              <w:jc w:val="left"/>
              <w:rPr>
                <w:rFonts w:ascii="仿宋_GB2312" w:hAnsi="仿宋_GB2312" w:eastAsia="仿宋_GB2312" w:cs="仿宋_GB2312"/>
                <w:szCs w:val="21"/>
              </w:rPr>
            </w:pPr>
            <w:r>
              <w:rPr>
                <w:rFonts w:hint="eastAsia" w:ascii="仿宋_GB2312" w:hAnsi="仿宋_GB2312" w:eastAsia="仿宋_GB2312" w:cs="仿宋_GB2312"/>
                <w:szCs w:val="21"/>
              </w:rPr>
              <w:t>具有顾客购车行为分析与引导能力</w:t>
            </w:r>
          </w:p>
          <w:p>
            <w:pPr>
              <w:jc w:val="left"/>
              <w:rPr>
                <w:rFonts w:ascii="仿宋_GB2312" w:hAnsi="仿宋_GB2312" w:eastAsia="仿宋_GB2312" w:cs="仿宋_GB2312"/>
                <w:szCs w:val="21"/>
              </w:rPr>
            </w:pPr>
            <w:r>
              <w:rPr>
                <w:rFonts w:hint="eastAsia" w:ascii="仿宋_GB2312" w:hAnsi="仿宋_GB2312" w:eastAsia="仿宋_GB2312" w:cs="仿宋_GB2312"/>
                <w:szCs w:val="21"/>
              </w:rPr>
              <w:t>具备汽车推销技巧及二手车营销能力</w:t>
            </w:r>
          </w:p>
        </w:tc>
        <w:tc>
          <w:tcPr>
            <w:tcW w:w="1290" w:type="dxa"/>
            <w:vAlign w:val="center"/>
          </w:tcPr>
          <w:p>
            <w:pPr>
              <w:jc w:val="center"/>
              <w:rPr>
                <w:rFonts w:ascii="仿宋_GB2312" w:hAnsi="仿宋_GB2312" w:eastAsia="仿宋_GB2312" w:cs="仿宋_GB2312"/>
                <w:szCs w:val="21"/>
              </w:rPr>
            </w:pPr>
            <w:r>
              <w:rPr>
                <w:rFonts w:hint="eastAsia" w:ascii="仿宋_GB2312" w:hAnsi="仿宋_GB2312" w:cs="仿宋_GB2312"/>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654" w:hRule="atLeast"/>
          <w:jc w:val="center"/>
        </w:trPr>
        <w:tc>
          <w:tcPr>
            <w:tcW w:w="801" w:type="dxa"/>
            <w:vAlign w:val="center"/>
          </w:tcPr>
          <w:p>
            <w:pPr>
              <w:jc w:val="center"/>
              <w:rPr>
                <w:rFonts w:ascii="仿宋_GB2312" w:hAnsi="仿宋_GB2312" w:cs="仿宋_GB2312"/>
                <w:szCs w:val="21"/>
              </w:rPr>
            </w:pPr>
            <w:r>
              <w:rPr>
                <w:rFonts w:hint="eastAsia" w:ascii="仿宋_GB2312" w:hAnsi="仿宋_GB2312" w:cs="仿宋_GB2312"/>
                <w:szCs w:val="21"/>
              </w:rPr>
              <w:t>4</w:t>
            </w:r>
          </w:p>
        </w:tc>
        <w:tc>
          <w:tcPr>
            <w:tcW w:w="179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汽车二手车鉴定与评估实训</w:t>
            </w:r>
          </w:p>
        </w:tc>
        <w:tc>
          <w:tcPr>
            <w:tcW w:w="5398"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掌握二手机动车的技术基础知识</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掌握二手机动车鉴定流程及程序</w:t>
            </w:r>
          </w:p>
          <w:p>
            <w:pPr>
              <w:jc w:val="left"/>
              <w:rPr>
                <w:rFonts w:ascii="仿宋_GB2312" w:hAnsi="仿宋_GB2312" w:eastAsia="仿宋_GB2312" w:cs="仿宋_GB2312"/>
                <w:szCs w:val="21"/>
              </w:rPr>
            </w:pPr>
            <w:r>
              <w:rPr>
                <w:rFonts w:hint="eastAsia" w:ascii="仿宋_GB2312" w:hAnsi="仿宋_GB2312" w:eastAsia="仿宋_GB2312" w:cs="仿宋_GB2312"/>
                <w:szCs w:val="21"/>
              </w:rPr>
              <w:t>熟悉鉴定评估作业表的填写，运用科学的鉴定评估标准和方法</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掌握国家对二手车的交易相关政策、法规及有关规定</w:t>
            </w:r>
          </w:p>
        </w:tc>
        <w:tc>
          <w:tcPr>
            <w:tcW w:w="1290" w:type="dxa"/>
            <w:vAlign w:val="center"/>
          </w:tcPr>
          <w:p>
            <w:pPr>
              <w:jc w:val="center"/>
              <w:rPr>
                <w:rFonts w:ascii="仿宋_GB2312" w:hAnsi="仿宋_GB2312" w:cs="仿宋_GB2312"/>
                <w:szCs w:val="21"/>
              </w:rPr>
            </w:pPr>
            <w:r>
              <w:rPr>
                <w:rFonts w:hint="eastAsia" w:ascii="仿宋_GB2312" w:hAnsi="仿宋_GB2312" w:cs="仿宋_GB2312"/>
                <w:szCs w:val="21"/>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70" w:type="dxa"/>
            <w:left w:w="108" w:type="dxa"/>
            <w:bottom w:w="170" w:type="dxa"/>
            <w:right w:w="108" w:type="dxa"/>
          </w:tblCellMar>
        </w:tblPrEx>
        <w:trPr>
          <w:trHeight w:val="816" w:hRule="atLeast"/>
          <w:jc w:val="center"/>
        </w:trPr>
        <w:tc>
          <w:tcPr>
            <w:tcW w:w="801" w:type="dxa"/>
            <w:vAlign w:val="center"/>
          </w:tcPr>
          <w:p>
            <w:pPr>
              <w:jc w:val="center"/>
              <w:rPr>
                <w:rFonts w:ascii="仿宋_GB2312" w:hAnsi="仿宋_GB2312" w:cs="仿宋_GB2312"/>
                <w:szCs w:val="21"/>
              </w:rPr>
            </w:pPr>
            <w:r>
              <w:rPr>
                <w:rFonts w:hint="eastAsia" w:ascii="仿宋_GB2312" w:hAnsi="仿宋_GB2312" w:cs="仿宋_GB2312"/>
                <w:szCs w:val="21"/>
              </w:rPr>
              <w:t>5</w:t>
            </w:r>
          </w:p>
        </w:tc>
        <w:tc>
          <w:tcPr>
            <w:tcW w:w="1799" w:type="dxa"/>
            <w:vAlign w:val="center"/>
          </w:tcPr>
          <w:p>
            <w:pPr>
              <w:jc w:val="center"/>
              <w:rPr>
                <w:rFonts w:ascii="仿宋_GB2312" w:hAnsi="仿宋_GB2312" w:eastAsia="仿宋_GB2312" w:cs="仿宋_GB2312"/>
                <w:szCs w:val="21"/>
              </w:rPr>
            </w:pPr>
            <w:r>
              <w:rPr>
                <w:rFonts w:hint="eastAsia" w:ascii="仿宋_GB2312" w:hAnsi="仿宋_GB2312" w:eastAsia="仿宋_GB2312" w:cs="仿宋_GB2312"/>
                <w:szCs w:val="21"/>
              </w:rPr>
              <w:t>汽车保险与理赔实训</w:t>
            </w:r>
          </w:p>
        </w:tc>
        <w:tc>
          <w:tcPr>
            <w:tcW w:w="5398" w:type="dxa"/>
            <w:vAlign w:val="center"/>
          </w:tcPr>
          <w:p>
            <w:pPr>
              <w:jc w:val="left"/>
              <w:rPr>
                <w:rFonts w:ascii="仿宋_GB2312" w:hAnsi="仿宋_GB2312" w:eastAsia="仿宋_GB2312" w:cs="仿宋_GB2312"/>
                <w:szCs w:val="21"/>
              </w:rPr>
            </w:pPr>
            <w:r>
              <w:rPr>
                <w:rFonts w:hint="eastAsia" w:ascii="仿宋_GB2312" w:hAnsi="仿宋_GB2312" w:eastAsia="仿宋_GB2312" w:cs="仿宋_GB2312"/>
                <w:szCs w:val="21"/>
              </w:rPr>
              <w:t>增强对汽车保险实际运作与管理认知</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掌握汽车保险的核保、核赔等内容</w:t>
            </w:r>
          </w:p>
          <w:p>
            <w:pPr>
              <w:jc w:val="left"/>
              <w:rPr>
                <w:rFonts w:ascii="仿宋_GB2312" w:hAnsi="仿宋_GB2312" w:eastAsia="仿宋_GB2312" w:cs="仿宋_GB2312"/>
                <w:szCs w:val="21"/>
              </w:rPr>
            </w:pPr>
            <w:r>
              <w:rPr>
                <w:rFonts w:hint="eastAsia" w:ascii="仿宋_GB2312" w:hAnsi="仿宋_GB2312" w:eastAsia="仿宋_GB2312" w:cs="仿宋_GB2312"/>
                <w:szCs w:val="21"/>
              </w:rPr>
              <w:t>掌握汽车保险实务流程，规范填写投保单、保险单及理赔单据等</w:t>
            </w:r>
          </w:p>
          <w:p>
            <w:pPr>
              <w:jc w:val="left"/>
              <w:rPr>
                <w:rFonts w:ascii="仿宋_GB2312" w:hAnsi="仿宋_GB2312" w:eastAsia="仿宋_GB2312" w:cs="仿宋_GB2312"/>
                <w:szCs w:val="21"/>
              </w:rPr>
            </w:pPr>
            <w:r>
              <w:rPr>
                <w:rFonts w:hint="eastAsia" w:ascii="仿宋_GB2312" w:hAnsi="仿宋_GB2312" w:eastAsia="仿宋_GB2312" w:cs="仿宋_GB2312"/>
                <w:szCs w:val="21"/>
              </w:rPr>
              <w:t>识别各种车型、原理、及易损部位、零件价格</w:t>
            </w:r>
          </w:p>
        </w:tc>
        <w:tc>
          <w:tcPr>
            <w:tcW w:w="1290" w:type="dxa"/>
            <w:vAlign w:val="center"/>
          </w:tcPr>
          <w:p>
            <w:pPr>
              <w:jc w:val="center"/>
              <w:rPr>
                <w:rFonts w:ascii="仿宋_GB2312" w:hAnsi="仿宋_GB2312" w:cs="仿宋_GB2312"/>
                <w:szCs w:val="21"/>
              </w:rPr>
            </w:pPr>
            <w:r>
              <w:rPr>
                <w:rFonts w:hint="eastAsia" w:ascii="仿宋_GB2312" w:hAnsi="仿宋_GB2312" w:cs="仿宋_GB2312"/>
                <w:szCs w:val="21"/>
              </w:rPr>
              <w:t>108</w:t>
            </w:r>
          </w:p>
        </w:tc>
      </w:tr>
    </w:tbl>
    <w:p>
      <w:pPr>
        <w:pageBreakBefore w:val="0"/>
        <w:widowControl w:val="0"/>
        <w:kinsoku/>
        <w:wordWrap/>
        <w:overflowPunct/>
        <w:topLinePunct w:val="0"/>
        <w:autoSpaceDE/>
        <w:autoSpaceDN/>
        <w:bidi w:val="0"/>
        <w:adjustRightInd/>
        <w:snapToGrid/>
        <w:spacing w:line="560" w:lineRule="exact"/>
        <w:jc w:val="center"/>
        <w:textAlignment w:val="auto"/>
        <w:rPr>
          <w:rFonts w:ascii="仿宋_GB2312" w:hAnsi="仿宋_GB2312" w:eastAsia="仿宋_GB2312" w:cs="仿宋_GB2312"/>
          <w:szCs w:val="21"/>
        </w:rPr>
      </w:pPr>
      <w:r>
        <w:rPr>
          <w:rFonts w:hint="eastAsia" w:ascii="仿宋_GB2312" w:hAnsi="仿宋_GB2312" w:eastAsia="仿宋_GB2312" w:cs="仿宋_GB2312"/>
          <w:szCs w:val="21"/>
        </w:rPr>
        <w:t>表10综合实训课程一览表</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(5）专业实践课程</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专业（毕业）实习</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顶岗实习是学生职业技能和职业岗位工作能力培养的重要实践教学环节，本专业严格按教育部的《中等职业学校学生实习管理办法》的有关要求，让学生以“准职业人”的身份参与企业的工作。通过企业顶岗实习，学生能更深入地了解企业相关岗位的工作任务与职责权限，能够用所学知识和技能解决实际工作问题，学会与人相处与合作，树立正确的劳动观念和就业观。</w:t>
      </w:r>
    </w:p>
    <w:p>
      <w:pPr>
        <w:pStyle w:val="2"/>
        <w:pageBreakBefore w:val="0"/>
        <w:widowControl w:val="0"/>
        <w:kinsoku/>
        <w:wordWrap/>
        <w:overflowPunct/>
        <w:topLinePunct w:val="0"/>
        <w:autoSpaceDE/>
        <w:autoSpaceDN/>
        <w:bidi w:val="0"/>
        <w:adjustRightInd/>
        <w:snapToGrid/>
        <w:spacing w:line="560" w:lineRule="exact"/>
        <w:textAlignment w:val="auto"/>
        <w:rPr>
          <w:rFonts w:ascii="仿宋_GB2312" w:hAnsi="仿宋_GB2312" w:eastAsia="仿宋_GB2312" w:cs="仿宋_GB2312"/>
          <w:sz w:val="32"/>
          <w:szCs w:val="32"/>
        </w:rPr>
      </w:pPr>
      <w:bookmarkStart w:id="60" w:name="_Toc22498"/>
      <w:bookmarkStart w:id="61" w:name="_Toc17259"/>
      <w:bookmarkStart w:id="62" w:name="_Toc16687"/>
      <w:r>
        <w:rPr>
          <w:rFonts w:hint="eastAsia" w:ascii="仿宋_GB2312" w:hAnsi="仿宋_GB2312" w:eastAsia="仿宋_GB2312" w:cs="仿宋_GB2312"/>
          <w:sz w:val="32"/>
          <w:szCs w:val="32"/>
        </w:rPr>
        <w:t>七、教学进程总体安排</w:t>
      </w:r>
      <w:bookmarkEnd w:id="60"/>
      <w:bookmarkEnd w:id="61"/>
      <w:bookmarkEnd w:id="62"/>
    </w:p>
    <w:p>
      <w:pPr>
        <w:pStyle w:val="3"/>
        <w:pageBreakBefore w:val="0"/>
        <w:widowControl w:val="0"/>
        <w:kinsoku/>
        <w:wordWrap/>
        <w:overflowPunct/>
        <w:topLinePunct w:val="0"/>
        <w:autoSpaceDE/>
        <w:autoSpaceDN/>
        <w:bidi w:val="0"/>
        <w:adjustRightInd/>
        <w:snapToGrid/>
        <w:spacing w:line="560" w:lineRule="exact"/>
        <w:textAlignment w:val="auto"/>
        <w:rPr>
          <w:rFonts w:ascii="仿宋_GB2312" w:hAnsi="仿宋_GB2312" w:cs="仿宋_GB2312"/>
          <w:szCs w:val="28"/>
        </w:rPr>
      </w:pPr>
      <w:bookmarkStart w:id="63" w:name="_Toc31447"/>
      <w:bookmarkStart w:id="64" w:name="_Toc13699"/>
      <w:bookmarkStart w:id="65" w:name="_Toc3408"/>
      <w:r>
        <w:rPr>
          <w:rFonts w:hint="eastAsia" w:ascii="仿宋_GB2312" w:hAnsi="仿宋_GB2312" w:cs="仿宋_GB2312"/>
          <w:szCs w:val="28"/>
        </w:rPr>
        <w:t>（一）基本要求</w:t>
      </w:r>
      <w:bookmarkEnd w:id="63"/>
      <w:bookmarkEnd w:id="64"/>
      <w:bookmarkEnd w:id="65"/>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eastAsia="仿宋_GB2312"/>
          <w:sz w:val="28"/>
          <w:szCs w:val="28"/>
        </w:rPr>
      </w:pPr>
      <w:r>
        <w:rPr>
          <w:rFonts w:hint="eastAsia" w:eastAsia="仿宋_GB2312"/>
          <w:sz w:val="28"/>
          <w:szCs w:val="28"/>
        </w:rPr>
        <w:t>每学年为52周，其中教学时间40周（含复习考试），有效教学周为36周，累计假期12周，周学时为30学时，顶岗实习按每周30小时（1小时折合1学时）安排，3年总学时数为4014。公共基础课学时（公共基础必修课1116学时，公共基础限定选修课252学时）约占总学时的40%。专业课学时（专业核心课738学时，专业方向课504学时，专业选修课252学时，顶岗实习600学时）约占总学时的60%。鼓励将学生取得的行业企业认可度高的职业技能等级证书或“1+X”能力认证证书，按一定规则折算为学历教育相应学分。</w:t>
      </w:r>
      <w:bookmarkStart w:id="66" w:name="_Toc19210"/>
      <w:bookmarkStart w:id="67" w:name="_Toc29230"/>
      <w:bookmarkStart w:id="68" w:name="_Toc19714"/>
    </w:p>
    <w:p>
      <w:pPr>
        <w:pStyle w:val="3"/>
        <w:pageBreakBefore w:val="0"/>
        <w:widowControl w:val="0"/>
        <w:kinsoku/>
        <w:wordWrap/>
        <w:overflowPunct/>
        <w:topLinePunct w:val="0"/>
        <w:autoSpaceDE/>
        <w:autoSpaceDN/>
        <w:bidi w:val="0"/>
        <w:adjustRightInd/>
        <w:snapToGrid/>
        <w:spacing w:line="560" w:lineRule="exact"/>
        <w:textAlignment w:val="auto"/>
      </w:pPr>
      <w:r>
        <w:rPr>
          <w:rFonts w:hint="eastAsia"/>
        </w:rPr>
        <w:t>（二）教学进度安排</w:t>
      </w:r>
      <w:bookmarkEnd w:id="66"/>
      <w:bookmarkEnd w:id="67"/>
      <w:bookmarkEnd w:id="68"/>
    </w:p>
    <w:p>
      <w:pPr>
        <w:pageBreakBefore w:val="0"/>
        <w:widowControl w:val="0"/>
        <w:kinsoku/>
        <w:wordWrap/>
        <w:overflowPunct/>
        <w:topLinePunct w:val="0"/>
        <w:autoSpaceDE/>
        <w:autoSpaceDN/>
        <w:bidi w:val="0"/>
        <w:adjustRightInd/>
        <w:snapToGrid/>
        <w:spacing w:line="560" w:lineRule="exact"/>
        <w:textAlignment w:val="auto"/>
        <w:rPr>
          <w:sz w:val="28"/>
          <w:szCs w:val="28"/>
        </w:rPr>
      </w:pPr>
      <w:r>
        <w:rPr>
          <w:rFonts w:hint="eastAsia" w:ascii="仿宋_GB2312" w:hAnsi="仿宋_GB2312" w:eastAsia="仿宋_GB2312" w:cs="仿宋_GB2312"/>
          <w:szCs w:val="21"/>
        </w:rPr>
        <w:pict>
          <v:shape id="_x0000_s1027" o:spid="_x0000_s1027" o:spt="75" alt="" type="#_x0000_t75" style="position:absolute;left:0pt;margin-left:-31.75pt;margin-top:4.1pt;height:612.7pt;width:536.8pt;z-index:251660288;mso-width-relative:page;mso-height-relative:page;" o:ole="t" filled="f" o:preferrelative="t" stroked="f" coordsize="21600,21600">
            <v:path/>
            <v:fill on="f" focussize="0,0"/>
            <v:stroke on="f"/>
            <v:imagedata r:id="rId10" o:title=""/>
            <o:lock v:ext="edit" aspectratio="f"/>
          </v:shape>
          <o:OLEObject Type="Embed" ProgID="Excel.Sheet.12" ShapeID="_x0000_s1027" DrawAspect="Content" ObjectID="_1468075726" r:id="rId9">
            <o:LockedField>false</o:LockedField>
          </o:OLEObject>
        </w:pict>
      </w: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hint="eastAsia" w:ascii="仿宋_GB2312" w:hAnsi="仿宋_GB2312" w:eastAsia="仿宋_GB2312" w:cs="仿宋_GB2312"/>
          <w:szCs w:val="21"/>
        </w:rPr>
      </w:pPr>
    </w:p>
    <w:p>
      <w:pPr>
        <w:jc w:val="center"/>
        <w:rPr>
          <w:rFonts w:ascii="仿宋_GB2312" w:hAnsi="仿宋_GB2312" w:eastAsia="仿宋_GB2312" w:cs="仿宋_GB2312"/>
          <w:sz w:val="28"/>
          <w:szCs w:val="28"/>
        </w:rPr>
      </w:pPr>
      <w:r>
        <w:rPr>
          <w:rFonts w:hint="eastAsia" w:ascii="仿宋_GB2312" w:hAnsi="仿宋_GB2312" w:eastAsia="仿宋_GB2312" w:cs="仿宋_GB2312"/>
          <w:szCs w:val="21"/>
        </w:rPr>
        <w:t>表</w:t>
      </w:r>
      <w:r>
        <w:rPr>
          <w:rFonts w:hint="eastAsia" w:ascii="仿宋_GB2312" w:hAnsi="仿宋_GB2312" w:cs="仿宋_GB2312"/>
          <w:szCs w:val="21"/>
        </w:rPr>
        <w:t>11</w:t>
      </w:r>
      <w:r>
        <w:rPr>
          <w:rFonts w:hint="eastAsia" w:ascii="仿宋_GB2312" w:hAnsi="仿宋_GB2312" w:eastAsia="仿宋_GB2312" w:cs="仿宋_GB2312"/>
          <w:szCs w:val="21"/>
        </w:rPr>
        <w:t xml:space="preserve">  教学安排建议表</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说明：</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cs="仿宋_GB2312"/>
          <w:sz w:val="28"/>
          <w:szCs w:val="28"/>
        </w:rPr>
        <w:t>1.</w:t>
      </w:r>
      <w:r>
        <w:rPr>
          <w:rFonts w:hint="eastAsia"/>
          <w:sz w:val="28"/>
          <w:szCs w:val="28"/>
        </w:rPr>
        <w:t>学校实行学分制，18学时为1学分。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ascii="仿宋_GB2312" w:hAnsi="仿宋_GB2312" w:cs="仿宋_GB2312"/>
          <w:sz w:val="28"/>
          <w:szCs w:val="28"/>
        </w:rPr>
        <w:t>2.</w:t>
      </w:r>
      <w:r>
        <w:rPr>
          <w:rFonts w:hint="eastAsia"/>
          <w:sz w:val="28"/>
          <w:szCs w:val="28"/>
        </w:rPr>
        <w:t>入学教育（军训）1周2学分和认知实习2天1学分在第一学期，跟岗实习1周在第3学期2学分；顶岗实习6个月在第6学期总学分30学分.</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sz w:val="28"/>
          <w:szCs w:val="28"/>
        </w:rPr>
      </w:pPr>
      <w:r>
        <w:rPr>
          <w:rFonts w:hint="eastAsia"/>
          <w:sz w:val="28"/>
          <w:szCs w:val="28"/>
        </w:rPr>
        <w:t>3.参加国际性、全国性、省部级、地市级、行业内的职业技能竞赛以及各种知识、文艺、体育等竞赛中获得奖励折合成学分。</w:t>
      </w:r>
    </w:p>
    <w:p>
      <w:pPr>
        <w:pStyle w:val="2"/>
        <w:pageBreakBefore w:val="0"/>
        <w:widowControl w:val="0"/>
        <w:kinsoku/>
        <w:wordWrap/>
        <w:overflowPunct/>
        <w:topLinePunct w:val="0"/>
        <w:autoSpaceDE/>
        <w:autoSpaceDN/>
        <w:bidi w:val="0"/>
        <w:adjustRightInd/>
        <w:snapToGrid/>
        <w:spacing w:line="560" w:lineRule="exact"/>
        <w:ind w:firstLine="562" w:firstLineChars="200"/>
        <w:textAlignment w:val="auto"/>
        <w:rPr>
          <w:rFonts w:ascii="仿宋_GB2312" w:hAnsi="仿宋_GB2312" w:eastAsia="仿宋_GB2312" w:cs="仿宋_GB2312"/>
          <w:sz w:val="28"/>
          <w:szCs w:val="28"/>
        </w:rPr>
      </w:pPr>
      <w:bookmarkStart w:id="69" w:name="_Toc27101"/>
      <w:bookmarkStart w:id="70" w:name="_Toc2414"/>
      <w:bookmarkStart w:id="71" w:name="_Toc8584"/>
      <w:r>
        <w:rPr>
          <w:rFonts w:hint="eastAsia" w:ascii="仿宋_GB2312" w:hAnsi="仿宋_GB2312" w:eastAsia="仿宋_GB2312" w:cs="仿宋_GB2312"/>
          <w:sz w:val="28"/>
          <w:szCs w:val="28"/>
        </w:rPr>
        <w:t>八、实施保障</w:t>
      </w:r>
      <w:bookmarkEnd w:id="69"/>
      <w:bookmarkEnd w:id="70"/>
      <w:bookmarkEnd w:id="71"/>
    </w:p>
    <w:p>
      <w:pPr>
        <w:pStyle w:val="3"/>
        <w:pageBreakBefore w:val="0"/>
        <w:widowControl w:val="0"/>
        <w:kinsoku/>
        <w:wordWrap/>
        <w:overflowPunct/>
        <w:topLinePunct w:val="0"/>
        <w:autoSpaceDE/>
        <w:autoSpaceDN/>
        <w:bidi w:val="0"/>
        <w:adjustRightInd/>
        <w:snapToGrid/>
        <w:spacing w:line="560" w:lineRule="exact"/>
        <w:ind w:firstLine="562" w:firstLineChars="200"/>
        <w:textAlignment w:val="auto"/>
        <w:rPr>
          <w:rFonts w:ascii="仿宋_GB2312" w:hAnsi="仿宋_GB2312" w:cs="仿宋_GB2312"/>
          <w:sz w:val="28"/>
          <w:szCs w:val="28"/>
        </w:rPr>
      </w:pPr>
      <w:bookmarkStart w:id="72" w:name="_Toc18651"/>
      <w:bookmarkStart w:id="73" w:name="_Toc29368"/>
      <w:bookmarkStart w:id="74" w:name="_Toc26340"/>
      <w:r>
        <w:rPr>
          <w:rFonts w:hint="eastAsia" w:ascii="仿宋_GB2312" w:hAnsi="仿宋_GB2312" w:cs="仿宋_GB2312"/>
          <w:sz w:val="28"/>
          <w:szCs w:val="28"/>
        </w:rPr>
        <w:t>（一）</w:t>
      </w:r>
      <w:r>
        <w:rPr>
          <w:rFonts w:hint="eastAsia" w:ascii="仿宋_GB2312" w:hAnsi="仿宋_GB2312" w:cs="仿宋_GB2312"/>
          <w:sz w:val="28"/>
          <w:szCs w:val="28"/>
          <w:lang w:val="zh-CN"/>
        </w:rPr>
        <w:t>师</w:t>
      </w:r>
      <w:r>
        <w:rPr>
          <w:rFonts w:hint="eastAsia" w:ascii="仿宋_GB2312" w:hAnsi="仿宋_GB2312" w:cs="仿宋_GB2312"/>
          <w:sz w:val="28"/>
          <w:szCs w:val="28"/>
        </w:rPr>
        <w:t>资队伍</w:t>
      </w:r>
      <w:bookmarkEnd w:id="72"/>
      <w:bookmarkEnd w:id="73"/>
      <w:bookmarkEnd w:id="74"/>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bookmarkStart w:id="75" w:name="bookmark74"/>
      <w:bookmarkEnd w:id="75"/>
      <w:r>
        <w:rPr>
          <w:rFonts w:hint="eastAsia" w:ascii="仿宋_GB2312" w:hAnsi="仿宋_GB2312" w:eastAsia="仿宋_GB2312" w:cs="仿宋_GB2312"/>
          <w:sz w:val="28"/>
          <w:szCs w:val="28"/>
        </w:rPr>
        <w:t>根据教育部颁布的《中等职业学校教师专业标准》和《中等职业学校设置标准》的有关规定，进行教师队伍建设，合理配置教师资源。专任教师的学历职称结构应合理，专任教师师生比不低于1:20，其中双师型教师占专业课教师比例不低于50%。建立双师教学团队，应有业务水平较高的专业带头人。</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专任教师应具有中等职业学校教师资格证书和相关的专业资格证书，有良好的师德，对本专业课程有较为全面的了解，对汽车服务与营销专业课程有较为全面的了解，熟悉教学规律；了解和关注汽车营销与服务行业动态与车辆技术发展，有汽车销售企业车辆一般销售岗位工作经验或参加汽车销售或服务的实践经历，适应产业行业发展需求，熟悉企业情况，积极开展课程教学改革。专任教师应主动前往汽车4S店、汽车服务企业、汽车保险理赔企业等行业、企业进行相应的专业 实践,专业课教师每5年的专业实践时间不少于6个月。</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兼职教师主要从相关企业的高技术技能人才中聘任，应具备良好的思想政治素质、职业道德和工匠精神、具有扎实的汽车服务与营销专业知识和丰富的实际工作经验，具有五级及以上相关专业职称或高等级技能证书，能承担专业课程教学、实习实训指导和学生职业发展规划等专业教学任务。</w:t>
      </w:r>
    </w:p>
    <w:p>
      <w:pPr>
        <w:pStyle w:val="3"/>
        <w:pageBreakBefore w:val="0"/>
        <w:widowControl w:val="0"/>
        <w:kinsoku/>
        <w:wordWrap/>
        <w:overflowPunct/>
        <w:topLinePunct w:val="0"/>
        <w:autoSpaceDE/>
        <w:autoSpaceDN/>
        <w:bidi w:val="0"/>
        <w:adjustRightInd/>
        <w:snapToGrid/>
        <w:spacing w:line="560" w:lineRule="exact"/>
        <w:ind w:firstLine="562" w:firstLineChars="200"/>
        <w:textAlignment w:val="auto"/>
        <w:rPr>
          <w:rFonts w:ascii="仿宋_GB2312" w:hAnsi="仿宋_GB2312" w:cs="仿宋_GB2312"/>
          <w:sz w:val="28"/>
          <w:szCs w:val="28"/>
        </w:rPr>
      </w:pPr>
      <w:bookmarkStart w:id="76" w:name="_Toc17009"/>
      <w:bookmarkStart w:id="77" w:name="_Toc29989"/>
      <w:bookmarkStart w:id="78" w:name="_Toc32444"/>
      <w:r>
        <w:rPr>
          <w:rFonts w:hint="eastAsia" w:ascii="仿宋_GB2312" w:hAnsi="仿宋_GB2312" w:cs="仿宋_GB2312"/>
          <w:sz w:val="28"/>
          <w:szCs w:val="28"/>
        </w:rPr>
        <w:t>（二）</w:t>
      </w:r>
      <w:r>
        <w:rPr>
          <w:rFonts w:hint="eastAsia" w:ascii="仿宋_GB2312" w:hAnsi="仿宋_GB2312" w:cs="仿宋_GB2312"/>
          <w:sz w:val="28"/>
          <w:szCs w:val="28"/>
          <w:lang w:val="zh-CN"/>
        </w:rPr>
        <w:t>教</w:t>
      </w:r>
      <w:r>
        <w:rPr>
          <w:rFonts w:hint="eastAsia" w:ascii="仿宋_GB2312" w:hAnsi="仿宋_GB2312" w:cs="仿宋_GB2312"/>
          <w:sz w:val="28"/>
          <w:szCs w:val="28"/>
        </w:rPr>
        <w:t>学设施</w:t>
      </w:r>
      <w:bookmarkEnd w:id="76"/>
      <w:bookmarkEnd w:id="77"/>
      <w:bookmarkEnd w:id="78"/>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1.校内实践教学条件</w:t>
      </w:r>
    </w:p>
    <w:p>
      <w:pPr>
        <w:pageBreakBefore w:val="0"/>
        <w:widowControl w:val="0"/>
        <w:kinsoku/>
        <w:wordWrap/>
        <w:overflowPunct/>
        <w:topLinePunct w:val="0"/>
        <w:autoSpaceDE/>
        <w:autoSpaceDN/>
        <w:bidi w:val="0"/>
        <w:adjustRightInd/>
        <w:snapToGrid/>
        <w:spacing w:line="560" w:lineRule="exact"/>
        <w:ind w:firstLine="560" w:firstLineChars="200"/>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rPr>
        <w:t>校内实践教学条件按照完成专业学习领域核心课程的学习情境教学要求配置，每个场地满足一次性容纳40名学生进行基于行动导向的理论实践一体化教学的需要。专业核心课程的实践条件配置与要求见下表。</w:t>
      </w:r>
    </w:p>
    <w:tbl>
      <w:tblPr>
        <w:tblStyle w:val="10"/>
        <w:tblW w:w="9650" w:type="dxa"/>
        <w:jc w:val="center"/>
        <w:tblLayout w:type="fixed"/>
        <w:tblCellMar>
          <w:top w:w="15" w:type="dxa"/>
          <w:left w:w="15" w:type="dxa"/>
          <w:bottom w:w="15" w:type="dxa"/>
          <w:right w:w="15" w:type="dxa"/>
        </w:tblCellMar>
      </w:tblPr>
      <w:tblGrid>
        <w:gridCol w:w="532"/>
        <w:gridCol w:w="1222"/>
        <w:gridCol w:w="6182"/>
        <w:gridCol w:w="1714"/>
      </w:tblGrid>
      <w:tr>
        <w:tblPrEx>
          <w:tblCellMar>
            <w:top w:w="15" w:type="dxa"/>
            <w:left w:w="15" w:type="dxa"/>
            <w:bottom w:w="15" w:type="dxa"/>
            <w:right w:w="15" w:type="dxa"/>
          </w:tblCellMar>
        </w:tblPrEx>
        <w:trPr>
          <w:trHeight w:val="285"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序号</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实训室名称</w:t>
            </w:r>
          </w:p>
        </w:tc>
        <w:tc>
          <w:tcPr>
            <w:tcW w:w="7896"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主要工具和设施设备</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名称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数量（生均台套）</w:t>
            </w:r>
          </w:p>
        </w:tc>
      </w:tr>
      <w:tr>
        <w:tblPrEx>
          <w:tblCellMar>
            <w:top w:w="15" w:type="dxa"/>
            <w:left w:w="15" w:type="dxa"/>
            <w:bottom w:w="15" w:type="dxa"/>
            <w:right w:w="15" w:type="dxa"/>
          </w:tblCellMar>
        </w:tblPrEx>
        <w:trPr>
          <w:trHeight w:val="1020"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汽车电工电子实训室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可进行并联电路；串联电路；电流实验；电压实验；电阻实 验；欧姆定律；短路和断路检查；二极管、三极管、继电器、 LED检测；整流电路；放大电路；继电器控制电路等实验</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2</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汽车发动机构造与维修实训室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汽车起动充电机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汽车发动机解剖台架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发动机各系统示教板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发动机起动试验台架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汽车总成及拆装翻转台架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发动机拆装工具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auto"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发动机维修常用量具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3</w:t>
            </w:r>
          </w:p>
        </w:tc>
        <w:tc>
          <w:tcPr>
            <w:tcW w:w="1222" w:type="dxa"/>
            <w:vMerge w:val="restart"/>
            <w:tcBorders>
              <w:top w:val="single" w:color="auto" w:sz="4" w:space="0"/>
              <w:left w:val="single" w:color="auto"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汽车底盘构造与维修实训室</w:t>
            </w:r>
          </w:p>
        </w:tc>
        <w:tc>
          <w:tcPr>
            <w:tcW w:w="6182" w:type="dxa"/>
            <w:tcBorders>
              <w:top w:val="single" w:color="auto"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汽车前置前驱传动系解剖实物台架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汽车前置后驱传动系解剖实物台架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各总成实物解剖教具</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汽车前置前驱传动系实训台架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4(1/8)</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汽车前置后驱传动系实训台架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4(1/8)</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自动变速器实训台架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4(1/8)</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自动变速器总成</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自动变速器实物解剖教具</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机械转向系及前桥实训台架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动力转向系及前桥实训台架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电控动力转向示教实训台架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auto" w:sz="4" w:space="0"/>
              <w:right w:val="single" w:color="auto"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电控悬架示教实训台架</w:t>
            </w:r>
          </w:p>
        </w:tc>
        <w:tc>
          <w:tcPr>
            <w:tcW w:w="1714" w:type="dxa"/>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auto"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auto"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汽车制动系（盘式制动器）实训台架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汽车制动系（鼓式制动器）实训台架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汽车ABS示教实训台架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汽车变速器举升机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轮胎扒胎机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轮胎动平衡机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汽车四轮定位仪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汽车底盘常用拆装工具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汽车底盘维修常用量具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汽车底盘拆装专用工具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4</w:t>
            </w:r>
          </w:p>
        </w:tc>
        <w:tc>
          <w:tcPr>
            <w:tcW w:w="1222" w:type="dxa"/>
            <w:vMerge w:val="restart"/>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汽车发动机电器与控制系统检修实训室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充电系统示教实训台架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起动系统示教实训台架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汽车起动机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汽车发电机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汽车起动机发电机试验台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发动机电控教学示教板</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电控发动机实训台架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电控发动机传感器、执行器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汽缸压力表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燃油压力表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汽车故障电脑诊断仪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汽车专用示波器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万用表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汽车五气体废气分析仪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真空度检测仪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点火正时灯</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异响听诊器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喷射油嘴清洗机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红外测温仪</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常用工具</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8(1/5)</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汽车起动充电机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1(1/40)</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hint="eastAsia" w:ascii="仿宋_GB2312" w:hAnsi="宋体" w:eastAsia="仿宋_GB2312" w:cs="仿宋_GB2312"/>
                <w:kern w:val="0"/>
                <w:szCs w:val="21"/>
              </w:rPr>
              <w:t>5</w:t>
            </w:r>
          </w:p>
        </w:tc>
        <w:tc>
          <w:tcPr>
            <w:tcW w:w="1222" w:type="dxa"/>
            <w:vMerge w:val="restart"/>
            <w:tcBorders>
              <w:top w:val="single" w:color="000000" w:sz="4" w:space="0"/>
              <w:left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ascii="仿宋_GB2312" w:hAnsi="宋体" w:eastAsia="仿宋_GB2312" w:cs="仿宋_GB2312"/>
                <w:kern w:val="0"/>
                <w:szCs w:val="21"/>
              </w:rPr>
              <w:t>汽车整车</w:t>
            </w:r>
            <w:r>
              <w:rPr>
                <w:rFonts w:hint="eastAsia" w:ascii="仿宋_GB2312" w:hAnsi="宋体" w:eastAsia="仿宋_GB2312" w:cs="仿宋_GB2312"/>
                <w:kern w:val="0"/>
                <w:szCs w:val="21"/>
              </w:rPr>
              <w:t>与配件营销</w:t>
            </w:r>
            <w:r>
              <w:rPr>
                <w:rFonts w:ascii="仿宋_GB2312" w:hAnsi="宋体" w:eastAsia="仿宋_GB2312" w:cs="仿宋_GB2312"/>
                <w:kern w:val="0"/>
                <w:szCs w:val="21"/>
              </w:rPr>
              <w:t>实训场</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ascii="仿宋_GB2312" w:hAnsi="宋体" w:eastAsia="仿宋_GB2312" w:cs="仿宋_GB2312"/>
                <w:kern w:val="0"/>
                <w:szCs w:val="21"/>
              </w:rPr>
              <w:t>实训轿车（可共用）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hint="eastAsia" w:ascii="仿宋_GB2312" w:hAnsi="仿宋_GB2312" w:eastAsia="仿宋_GB2312" w:cs="仿宋_GB2312"/>
                <w:kern w:val="0"/>
                <w:szCs w:val="21"/>
              </w:rPr>
              <w:t>2(1/20)</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left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hint="eastAsia" w:ascii="仿宋_GB2312" w:hAnsi="宋体" w:eastAsia="仿宋_GB2312" w:cs="仿宋_GB2312"/>
                <w:kern w:val="0"/>
                <w:szCs w:val="21"/>
              </w:rPr>
              <w:t>会客桌椅</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hint="eastAsia" w:ascii="仿宋_GB2312" w:hAnsi="宋体" w:eastAsia="仿宋_GB2312" w:cs="仿宋_GB2312"/>
                <w:kern w:val="0"/>
                <w:szCs w:val="21"/>
              </w:rPr>
              <w:t>4</w:t>
            </w:r>
            <w:r>
              <w:rPr>
                <w:rFonts w:ascii="仿宋_GB2312" w:hAnsi="宋体" w:eastAsia="仿宋_GB2312" w:cs="仿宋_GB2312"/>
                <w:kern w:val="0"/>
                <w:szCs w:val="21"/>
              </w:rPr>
              <w:t>(1/</w:t>
            </w:r>
            <w:r>
              <w:rPr>
                <w:rFonts w:hint="eastAsia" w:ascii="仿宋_GB2312" w:hAnsi="宋体" w:eastAsia="仿宋_GB2312" w:cs="仿宋_GB2312"/>
                <w:kern w:val="0"/>
                <w:szCs w:val="21"/>
              </w:rPr>
              <w:t>10</w:t>
            </w:r>
            <w:r>
              <w:rPr>
                <w:rFonts w:ascii="仿宋_GB2312" w:hAnsi="宋体" w:eastAsia="仿宋_GB2312" w:cs="仿宋_GB2312"/>
                <w:kern w:val="0"/>
                <w:szCs w:val="21"/>
              </w:rPr>
              <w:t>)</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left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hint="eastAsia" w:ascii="仿宋_GB2312" w:hAnsi="宋体" w:eastAsia="仿宋_GB2312" w:cs="仿宋_GB2312"/>
                <w:kern w:val="0"/>
                <w:szCs w:val="21"/>
              </w:rPr>
              <w:t>计算机</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hint="eastAsia" w:ascii="仿宋_GB2312" w:hAnsi="宋体" w:eastAsia="仿宋_GB2312" w:cs="仿宋_GB2312"/>
                <w:kern w:val="0"/>
                <w:szCs w:val="21"/>
              </w:rPr>
              <w:t>40</w:t>
            </w:r>
            <w:r>
              <w:rPr>
                <w:rFonts w:ascii="仿宋_GB2312" w:hAnsi="宋体" w:eastAsia="仿宋_GB2312" w:cs="仿宋_GB2312"/>
                <w:kern w:val="0"/>
                <w:szCs w:val="21"/>
              </w:rPr>
              <w:t>(1/40)</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left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szCs w:val="21"/>
              </w:rPr>
            </w:pPr>
            <w:r>
              <w:rPr>
                <w:rFonts w:hint="eastAsia" w:ascii="仿宋_GB2312" w:hAnsi="宋体" w:eastAsia="仿宋_GB2312" w:cs="仿宋_GB2312"/>
                <w:kern w:val="0"/>
                <w:szCs w:val="21"/>
              </w:rPr>
              <w:t>运华天地整车教学软件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szCs w:val="21"/>
              </w:rPr>
            </w:pPr>
            <w:r>
              <w:rPr>
                <w:rFonts w:hint="eastAsia" w:ascii="仿宋_GB2312" w:hAnsi="宋体" w:eastAsia="仿宋_GB2312" w:cs="仿宋_GB2312"/>
                <w:kern w:val="0"/>
                <w:szCs w:val="21"/>
              </w:rPr>
              <w:t>40</w:t>
            </w:r>
            <w:r>
              <w:rPr>
                <w:rFonts w:ascii="仿宋_GB2312" w:hAnsi="宋体" w:eastAsia="仿宋_GB2312" w:cs="仿宋_GB2312"/>
                <w:kern w:val="0"/>
                <w:szCs w:val="21"/>
              </w:rPr>
              <w:t>(1/40)</w:t>
            </w:r>
          </w:p>
        </w:tc>
      </w:tr>
      <w:tr>
        <w:tblPrEx>
          <w:tblCellMar>
            <w:top w:w="15" w:type="dxa"/>
            <w:left w:w="15" w:type="dxa"/>
            <w:bottom w:w="15" w:type="dxa"/>
            <w:right w:w="15" w:type="dxa"/>
          </w:tblCellMar>
        </w:tblPrEx>
        <w:trPr>
          <w:trHeight w:val="285" w:hRule="atLeast"/>
          <w:jc w:val="center"/>
        </w:trPr>
        <w:tc>
          <w:tcPr>
            <w:tcW w:w="532" w:type="dxa"/>
            <w:vMerge w:val="continue"/>
            <w:tcBorders>
              <w:left w:val="single" w:color="000000" w:sz="4" w:space="0"/>
              <w:bottom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left w:val="single" w:color="000000" w:sz="4" w:space="0"/>
              <w:bottom w:val="single" w:color="000000"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宋体" w:eastAsia="仿宋_GB2312" w:cs="仿宋_GB2312"/>
                <w:kern w:val="0"/>
                <w:szCs w:val="21"/>
              </w:rPr>
            </w:pPr>
            <w:r>
              <w:rPr>
                <w:rFonts w:hint="eastAsia" w:ascii="仿宋_GB2312" w:hAnsi="宋体" w:eastAsia="仿宋_GB2312" w:cs="仿宋_GB2312"/>
                <w:kern w:val="0"/>
                <w:szCs w:val="21"/>
              </w:rPr>
              <w:t>运华天地配件管理教学软件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宋体" w:eastAsia="仿宋_GB2312" w:cs="仿宋_GB2312"/>
                <w:kern w:val="0"/>
                <w:szCs w:val="21"/>
              </w:rPr>
            </w:pPr>
            <w:r>
              <w:rPr>
                <w:rFonts w:hint="eastAsia" w:ascii="仿宋_GB2312" w:hAnsi="宋体" w:eastAsia="仿宋_GB2312" w:cs="仿宋_GB2312"/>
                <w:kern w:val="0"/>
                <w:szCs w:val="21"/>
              </w:rPr>
              <w:t>40</w:t>
            </w:r>
            <w:r>
              <w:rPr>
                <w:rFonts w:ascii="仿宋_GB2312" w:hAnsi="宋体" w:eastAsia="仿宋_GB2312" w:cs="仿宋_GB2312"/>
                <w:kern w:val="0"/>
                <w:szCs w:val="21"/>
              </w:rPr>
              <w:t>(1/40)</w:t>
            </w:r>
          </w:p>
        </w:tc>
      </w:tr>
      <w:tr>
        <w:tblPrEx>
          <w:tblCellMar>
            <w:top w:w="15" w:type="dxa"/>
            <w:left w:w="15" w:type="dxa"/>
            <w:bottom w:w="15" w:type="dxa"/>
            <w:right w:w="15" w:type="dxa"/>
          </w:tblCellMar>
        </w:tblPrEx>
        <w:trPr>
          <w:trHeight w:val="285" w:hRule="atLeast"/>
          <w:jc w:val="center"/>
        </w:trPr>
        <w:tc>
          <w:tcPr>
            <w:tcW w:w="532" w:type="dxa"/>
            <w:vMerge w:val="restart"/>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r>
              <w:rPr>
                <w:rFonts w:hint="eastAsia" w:ascii="仿宋_GB2312" w:hAnsi="宋体" w:eastAsia="仿宋_GB2312" w:cs="仿宋_GB2312"/>
                <w:szCs w:val="21"/>
              </w:rPr>
              <w:t>6</w:t>
            </w:r>
          </w:p>
        </w:tc>
        <w:tc>
          <w:tcPr>
            <w:tcW w:w="122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汽车二手车评估与汽车保险实训室</w:t>
            </w: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实训轿车（可共用）</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仿宋_GB2312" w:eastAsia="仿宋_GB2312" w:cs="仿宋_GB2312"/>
                <w:szCs w:val="21"/>
              </w:rPr>
            </w:pPr>
            <w:r>
              <w:rPr>
                <w:rFonts w:hint="eastAsia" w:ascii="仿宋_GB2312" w:hAnsi="宋体" w:eastAsia="仿宋_GB2312" w:cs="仿宋_GB2312"/>
                <w:kern w:val="0"/>
                <w:szCs w:val="21"/>
              </w:rPr>
              <w:t>汽车保险工作前台</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2(1/20)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left"/>
              <w:textAlignment w:val="center"/>
              <w:rPr>
                <w:rFonts w:ascii="仿宋_GB2312" w:hAnsi="仿宋_GB2312" w:eastAsia="仿宋_GB2312" w:cs="仿宋_GB2312"/>
                <w:szCs w:val="21"/>
              </w:rPr>
            </w:pPr>
            <w:r>
              <w:rPr>
                <w:rFonts w:hint="eastAsia" w:ascii="仿宋_GB2312" w:hAnsi="宋体" w:eastAsia="仿宋_GB2312" w:cs="仿宋_GB2312"/>
                <w:kern w:val="0"/>
                <w:szCs w:val="21"/>
              </w:rPr>
              <w:t>航空椅</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仿宋_GB2312" w:eastAsia="仿宋_GB2312" w:cs="仿宋_GB2312"/>
                <w:kern w:val="0"/>
                <w:szCs w:val="21"/>
              </w:rPr>
              <w:t>10(1/4)</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宋体" w:eastAsia="仿宋_GB2312" w:cs="仿宋_GB2312"/>
                <w:kern w:val="0"/>
                <w:szCs w:val="21"/>
              </w:rPr>
            </w:pPr>
            <w:r>
              <w:rPr>
                <w:rFonts w:hint="eastAsia" w:ascii="仿宋_GB2312" w:hAnsi="宋体" w:eastAsia="仿宋_GB2312" w:cs="仿宋_GB2312"/>
                <w:kern w:val="0"/>
                <w:szCs w:val="21"/>
              </w:rPr>
              <w:t>保险（carcool））</w:t>
            </w:r>
          </w:p>
          <w:p>
            <w:pPr>
              <w:widowControl/>
              <w:jc w:val="left"/>
              <w:textAlignment w:val="center"/>
              <w:rPr>
                <w:rFonts w:ascii="仿宋_GB2312" w:hAnsi="仿宋_GB2312" w:eastAsia="仿宋_GB2312" w:cs="仿宋_GB2312"/>
                <w:szCs w:val="21"/>
              </w:rPr>
            </w:pPr>
            <w:r>
              <w:rPr>
                <w:rFonts w:hint="eastAsia" w:ascii="仿宋_GB2312" w:hAnsi="宋体" w:eastAsia="仿宋_GB2312" w:cs="仿宋_GB2312"/>
                <w:kern w:val="0"/>
                <w:szCs w:val="21"/>
              </w:rPr>
              <w:t>售后维修管理系统软件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kern w:val="0"/>
                <w:szCs w:val="21"/>
              </w:rPr>
              <w:t>40</w:t>
            </w:r>
            <w:r>
              <w:rPr>
                <w:rFonts w:ascii="仿宋_GB2312" w:hAnsi="宋体" w:eastAsia="仿宋_GB2312" w:cs="仿宋_GB2312"/>
                <w:kern w:val="0"/>
                <w:szCs w:val="21"/>
              </w:rPr>
              <w:t>(1/40)</w:t>
            </w:r>
          </w:p>
        </w:tc>
      </w:tr>
      <w:tr>
        <w:tblPrEx>
          <w:tblCellMar>
            <w:top w:w="15" w:type="dxa"/>
            <w:left w:w="15" w:type="dxa"/>
            <w:bottom w:w="15" w:type="dxa"/>
            <w:right w:w="15" w:type="dxa"/>
          </w:tblCellMar>
        </w:tblPrEx>
        <w:trPr>
          <w:trHeight w:val="285" w:hRule="atLeast"/>
          <w:jc w:val="center"/>
        </w:trPr>
        <w:tc>
          <w:tcPr>
            <w:tcW w:w="532" w:type="dxa"/>
            <w:vMerge w:val="continue"/>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仿宋_GB2312" w:hAnsi="宋体" w:eastAsia="仿宋_GB2312" w:cs="仿宋_GB2312"/>
                <w:szCs w:val="21"/>
              </w:rPr>
            </w:pPr>
          </w:p>
        </w:tc>
        <w:tc>
          <w:tcPr>
            <w:tcW w:w="122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ascii="仿宋_GB2312" w:hAnsi="仿宋_GB2312" w:eastAsia="仿宋_GB2312" w:cs="仿宋_GB2312"/>
                <w:szCs w:val="21"/>
              </w:rPr>
            </w:pPr>
          </w:p>
        </w:tc>
        <w:tc>
          <w:tcPr>
            <w:tcW w:w="618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仿宋_GB2312" w:hAnsi="仿宋_GB2312" w:eastAsia="仿宋_GB2312" w:cs="仿宋_GB2312"/>
                <w:szCs w:val="21"/>
              </w:rPr>
            </w:pPr>
            <w:r>
              <w:rPr>
                <w:rFonts w:hint="eastAsia" w:ascii="仿宋_GB2312" w:hAnsi="仿宋_GB2312" w:eastAsia="仿宋_GB2312" w:cs="仿宋_GB2312"/>
                <w:szCs w:val="21"/>
              </w:rPr>
              <w:t>运化天地二手车评估教学软件</w:t>
            </w:r>
          </w:p>
        </w:tc>
        <w:tc>
          <w:tcPr>
            <w:tcW w:w="1714"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textAlignment w:val="center"/>
              <w:rPr>
                <w:rFonts w:ascii="仿宋_GB2312" w:hAnsi="仿宋_GB2312" w:eastAsia="仿宋_GB2312" w:cs="仿宋_GB2312"/>
                <w:szCs w:val="21"/>
              </w:rPr>
            </w:pPr>
            <w:r>
              <w:rPr>
                <w:rFonts w:hint="eastAsia" w:ascii="仿宋_GB2312" w:hAnsi="宋体" w:eastAsia="仿宋_GB2312" w:cs="仿宋_GB2312"/>
                <w:kern w:val="0"/>
                <w:szCs w:val="21"/>
              </w:rPr>
              <w:t>40</w:t>
            </w:r>
            <w:r>
              <w:rPr>
                <w:rFonts w:ascii="仿宋_GB2312" w:hAnsi="宋体" w:eastAsia="仿宋_GB2312" w:cs="仿宋_GB2312"/>
                <w:kern w:val="0"/>
                <w:szCs w:val="21"/>
              </w:rPr>
              <w:t>(1/40)</w:t>
            </w:r>
          </w:p>
        </w:tc>
      </w:tr>
    </w:tbl>
    <w:p>
      <w:pPr>
        <w:pageBreakBefore w:val="0"/>
        <w:kinsoku/>
        <w:wordWrap/>
        <w:overflowPunct/>
        <w:topLinePunct w:val="0"/>
        <w:autoSpaceDE/>
        <w:autoSpaceDN/>
        <w:bidi w:val="0"/>
        <w:adjustRightInd/>
        <w:snapToGrid/>
        <w:spacing w:line="560" w:lineRule="exact"/>
        <w:jc w:val="center"/>
        <w:rPr>
          <w:rFonts w:ascii="仿宋_GB2312" w:hAnsi="宋体" w:eastAsia="仿宋_GB2312" w:cs="仿宋_GB2312"/>
          <w:kern w:val="0"/>
          <w:sz w:val="28"/>
          <w:szCs w:val="28"/>
        </w:rPr>
      </w:pPr>
      <w:r>
        <w:rPr>
          <w:rFonts w:hint="eastAsia" w:ascii="仿宋_GB2312" w:hAnsi="仿宋_GB2312" w:eastAsia="仿宋_GB2312" w:cs="仿宋_GB2312"/>
          <w:sz w:val="28"/>
          <w:szCs w:val="28"/>
        </w:rPr>
        <w:t>表12实训设备配置一览表</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2.校外实践教学条件</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专业应建立4-5个稳定的校外实训基地和若干个顶岗实习点。重点加强与国内汽车整车销售服务企业、整车售后维修企业、汽车保险销售企业、二手机动车鉴定与评估企业和规范的大中型运营企业的友好合作，共同将校外实训基地建成集学生生产实习、双师型教师培养培训和产教研的基地。根据本专业岗位实习要求，校外实训基地应满足专业教学要求，具备实训场地，设备配置满足实践一体化课程的现场教学和实训项目的开展，使学生有机会深入生产一线，了解企业实际，体验企业文化，保证学生的本专业技能训练进一步延续和提升。</w:t>
      </w:r>
    </w:p>
    <w:p>
      <w:pPr>
        <w:pStyle w:val="3"/>
        <w:pageBreakBefore w:val="0"/>
        <w:kinsoku/>
        <w:wordWrap/>
        <w:overflowPunct/>
        <w:topLinePunct w:val="0"/>
        <w:autoSpaceDE/>
        <w:autoSpaceDN/>
        <w:bidi w:val="0"/>
        <w:adjustRightInd/>
        <w:snapToGrid/>
        <w:spacing w:line="560" w:lineRule="exact"/>
        <w:ind w:firstLine="562" w:firstLineChars="200"/>
        <w:rPr>
          <w:rFonts w:ascii="仿宋_GB2312" w:hAnsi="仿宋_GB2312" w:cs="仿宋_GB2312"/>
          <w:sz w:val="28"/>
          <w:szCs w:val="28"/>
        </w:rPr>
      </w:pPr>
      <w:bookmarkStart w:id="79" w:name="_Toc11614"/>
      <w:bookmarkStart w:id="80" w:name="_Toc6129"/>
      <w:bookmarkStart w:id="81" w:name="_Toc28654"/>
      <w:r>
        <w:rPr>
          <w:rFonts w:hint="eastAsia" w:ascii="仿宋_GB2312" w:hAnsi="仿宋_GB2312" w:cs="仿宋_GB2312"/>
          <w:sz w:val="28"/>
          <w:szCs w:val="28"/>
        </w:rPr>
        <w:t>（三）</w:t>
      </w:r>
      <w:r>
        <w:rPr>
          <w:rFonts w:hint="eastAsia" w:ascii="仿宋_GB2312" w:hAnsi="仿宋_GB2312" w:cs="仿宋_GB2312"/>
          <w:sz w:val="28"/>
          <w:szCs w:val="28"/>
          <w:lang w:val="zh-CN"/>
        </w:rPr>
        <w:t>教</w:t>
      </w:r>
      <w:r>
        <w:rPr>
          <w:rFonts w:hint="eastAsia" w:ascii="仿宋_GB2312" w:hAnsi="仿宋_GB2312" w:cs="仿宋_GB2312"/>
          <w:sz w:val="28"/>
          <w:szCs w:val="28"/>
        </w:rPr>
        <w:t>学资源</w:t>
      </w:r>
      <w:bookmarkEnd w:id="79"/>
      <w:bookmarkEnd w:id="80"/>
      <w:bookmarkEnd w:id="81"/>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教材选用：本专业所有公共基础课教材和专业课教材首选用中等职业教育国家规划教材，专业课程应积极使用新型活页式、工作手册式教材；如没有国家规划教材，可以选用市级规划教材；如没有市级规划教材，可以选用自编校本教材，自编校本教材应由教务处会同专业部统筹安排，并报分管教学的校领导批准。</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2.校企合作资源平台：充分发挥网络学习优势，提供专业的教学资源库链接，让学生的自主学习，利于运化天地所提供的</w:t>
      </w:r>
      <w:r>
        <w:rPr>
          <w:rFonts w:hint="eastAsia" w:ascii="仿宋_GB2312" w:hAnsi="宋体" w:eastAsia="仿宋_GB2312" w:cs="仿宋_GB2312"/>
          <w:kern w:val="0"/>
          <w:sz w:val="28"/>
          <w:szCs w:val="28"/>
        </w:rPr>
        <w:t>（carcool））</w:t>
      </w:r>
      <w:r>
        <w:rPr>
          <w:rFonts w:hint="eastAsia" w:ascii="仿宋_GB2312" w:hAnsi="仿宋_GB2312" w:eastAsia="仿宋_GB2312" w:cs="仿宋_GB2312"/>
          <w:sz w:val="28"/>
          <w:szCs w:val="28"/>
        </w:rPr>
        <w:t>软件平台，其中包含整车、配件管理、二手车评估、保险实务等功能。以实际任务为驱动，培养学生完成任务的能力。</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3.数字化资源配备：每门课程均配备电子教案、PPT课件、教学素材、仿真课件等内容。利用数字化教学平台（如“超星学习通”）、</w:t>
      </w:r>
      <w:r>
        <w:rPr>
          <w:rFonts w:hint="eastAsia" w:ascii="仿宋_GB2312" w:hAnsi="仿宋_GB2312" w:cs="仿宋_GB2312"/>
          <w:sz w:val="28"/>
          <w:szCs w:val="28"/>
        </w:rPr>
        <w:t>智慧</w:t>
      </w:r>
      <w:r>
        <w:rPr>
          <w:rFonts w:hint="eastAsia" w:ascii="仿宋_GB2312" w:hAnsi="仿宋_GB2312" w:eastAsia="仿宋_GB2312" w:cs="仿宋_GB2312"/>
          <w:sz w:val="28"/>
          <w:szCs w:val="28"/>
        </w:rPr>
        <w:t>校园网资源库等数字化学习资源，供学生自主学习。</w:t>
      </w:r>
    </w:p>
    <w:p>
      <w:pPr>
        <w:pStyle w:val="3"/>
        <w:pageBreakBefore w:val="0"/>
        <w:kinsoku/>
        <w:wordWrap/>
        <w:overflowPunct/>
        <w:topLinePunct w:val="0"/>
        <w:autoSpaceDE/>
        <w:autoSpaceDN/>
        <w:bidi w:val="0"/>
        <w:adjustRightInd/>
        <w:snapToGrid/>
        <w:spacing w:line="560" w:lineRule="exact"/>
        <w:ind w:firstLine="562" w:firstLineChars="200"/>
        <w:rPr>
          <w:rFonts w:ascii="仿宋_GB2312" w:hAnsi="仿宋_GB2312" w:cs="仿宋_GB2312"/>
          <w:sz w:val="28"/>
          <w:szCs w:val="28"/>
        </w:rPr>
      </w:pPr>
      <w:bookmarkStart w:id="82" w:name="_Toc659"/>
      <w:bookmarkStart w:id="83" w:name="_Toc24027"/>
      <w:bookmarkStart w:id="84" w:name="_Toc5668"/>
      <w:r>
        <w:rPr>
          <w:rFonts w:hint="eastAsia" w:ascii="仿宋_GB2312" w:hAnsi="仿宋_GB2312" w:cs="仿宋_GB2312"/>
          <w:sz w:val="28"/>
          <w:szCs w:val="28"/>
        </w:rPr>
        <w:t>（四）</w:t>
      </w:r>
      <w:r>
        <w:rPr>
          <w:rFonts w:hint="eastAsia" w:ascii="仿宋_GB2312" w:hAnsi="仿宋_GB2312" w:cs="仿宋_GB2312"/>
          <w:sz w:val="28"/>
          <w:szCs w:val="28"/>
          <w:lang w:val="zh-CN"/>
        </w:rPr>
        <w:t>教</w:t>
      </w:r>
      <w:r>
        <w:rPr>
          <w:rFonts w:hint="eastAsia" w:ascii="仿宋_GB2312" w:hAnsi="仿宋_GB2312" w:cs="仿宋_GB2312"/>
          <w:sz w:val="28"/>
          <w:szCs w:val="28"/>
        </w:rPr>
        <w:t>学方法</w:t>
      </w:r>
      <w:bookmarkEnd w:id="82"/>
      <w:bookmarkEnd w:id="83"/>
      <w:bookmarkEnd w:id="84"/>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教师需以行动导向教学理念为指引，综合采用多种教学方法完成专业课教学。</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1．讲授法：最基本的教学方法，教师对重要的理论知识采用讲授的教学方式，直接、快速、精炼的让学生掌握，为学生在实践中能更游刃有余的应用打好坚实的理论基础。</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2.讨论法：在教师的指导下，学生以全班或小组为单位，围绕教材的中心问题，各抒己见，通过讨论或辩论活动，获得知识或巩固知识的一种教学方法。</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3.案例教学法：教师以真实的案例情境或题材，引导学生进行互相讨论，激励学生主动参与学习活动的一种教学方式。教师于教学中扮演着设计者和激励者的角色，引导学生参与到教学活动中。</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4.项目教学法：通过以提高学生实践能力为目标的项目设计、实施，教师提供一定的引导及帮助，让学生以小组合作形式自主完成，以综合培养其专业能力、方法能力。</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5.任务驱动法：基于工作岗位的任务教学法，专业教师根据在主要岗位能力要求的基础上，进行实践教学任务设计，让学生在“学中做，做中学”，营造真实岗位情景。同时进行全面立体的评价，增强学生的学习能动性。</w:t>
      </w:r>
    </w:p>
    <w:p>
      <w:pPr>
        <w:pStyle w:val="3"/>
        <w:pageBreakBefore w:val="0"/>
        <w:kinsoku/>
        <w:wordWrap/>
        <w:overflowPunct/>
        <w:topLinePunct w:val="0"/>
        <w:autoSpaceDE/>
        <w:autoSpaceDN/>
        <w:bidi w:val="0"/>
        <w:adjustRightInd/>
        <w:snapToGrid/>
        <w:spacing w:line="560" w:lineRule="exact"/>
        <w:ind w:firstLine="562" w:firstLineChars="200"/>
        <w:rPr>
          <w:rFonts w:ascii="仿宋_GB2312" w:hAnsi="仿宋_GB2312" w:cs="仿宋_GB2312"/>
          <w:sz w:val="28"/>
          <w:szCs w:val="28"/>
        </w:rPr>
      </w:pPr>
      <w:bookmarkStart w:id="85" w:name="_Toc26138"/>
      <w:bookmarkStart w:id="86" w:name="_Toc20812"/>
      <w:bookmarkStart w:id="87" w:name="_Toc14400"/>
      <w:r>
        <w:rPr>
          <w:rFonts w:hint="eastAsia" w:ascii="仿宋_GB2312" w:hAnsi="仿宋_GB2312" w:cs="仿宋_GB2312"/>
          <w:sz w:val="28"/>
          <w:szCs w:val="28"/>
        </w:rPr>
        <w:t>（五）学习评价</w:t>
      </w:r>
      <w:bookmarkEnd w:id="85"/>
      <w:bookmarkEnd w:id="86"/>
      <w:bookmarkEnd w:id="87"/>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教学评价应体现评价主体、评价方式、评价过程的多元化。要校内校外评价结合，学业考核与职业技能鉴定结合，教师评价、学生互评与自我评价相结合，过程性评价与结果性评价相结合。创新评价方式方法，既要关注学生对知识的理解和技能的掌握，更要关注运用知识在实践中解决实际问题的能力水平。</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要注重职业道德教育，构建学生、教师、家长、企业、社会广泛参与的学生综合素质评价体系；以过程性评价为导向，将学生日常学习态度、学习表现、知识技能运用纳入评价范围，形成日常学业水平测试、技能抽查等学业评价为主、期末考试考查为辅的过程性学业评价体系；以企业职业岗位标准为参考依据，形成学校与企业专家共同参与学生企业顶岗实习环节的评价机制。结合专业教学实际，确定期末考试考查课程，按学业成绩管理统一规定，制定各门课程成绩评价标准。</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教学评价包括专业知识、专业技能和关键能力三个方面，权重可自行设置。各项目采用的考核方式分别为：专业知识主要采取笔试进行考核；专业技能主要采取实操形式进行考核，以企业生产实际中比较典型和常见的工作任务作为考核内容；关键能力主要是以学生平时的综合表现进行考核，涵盖出勤及仪容仪表、收集信息质量、计划可行性、工作态度与习惯、发现问题的敏锐性、处理问题的及时性、沟通能力和合作精神等方面的考核。</w:t>
      </w:r>
    </w:p>
    <w:p>
      <w:pPr>
        <w:pStyle w:val="3"/>
        <w:pageBreakBefore w:val="0"/>
        <w:kinsoku/>
        <w:wordWrap/>
        <w:overflowPunct/>
        <w:topLinePunct w:val="0"/>
        <w:autoSpaceDE/>
        <w:autoSpaceDN/>
        <w:bidi w:val="0"/>
        <w:adjustRightInd/>
        <w:snapToGrid/>
        <w:spacing w:line="560" w:lineRule="exact"/>
        <w:ind w:firstLine="562" w:firstLineChars="200"/>
        <w:rPr>
          <w:rFonts w:ascii="仿宋_GB2312" w:hAnsi="仿宋_GB2312" w:cs="仿宋_GB2312"/>
          <w:sz w:val="28"/>
          <w:szCs w:val="28"/>
        </w:rPr>
      </w:pPr>
      <w:bookmarkStart w:id="88" w:name="_Toc15318"/>
      <w:bookmarkStart w:id="89" w:name="_Toc7712"/>
      <w:bookmarkStart w:id="90" w:name="_Toc19798"/>
      <w:r>
        <w:rPr>
          <w:rFonts w:hint="eastAsia" w:ascii="仿宋_GB2312" w:hAnsi="仿宋_GB2312" w:cs="仿宋_GB2312"/>
          <w:sz w:val="28"/>
          <w:szCs w:val="28"/>
        </w:rPr>
        <w:t>（六）质量管理</w:t>
      </w:r>
      <w:bookmarkEnd w:id="88"/>
      <w:bookmarkEnd w:id="89"/>
      <w:bookmarkEnd w:id="90"/>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教学管理是学校的中心工作，教学质量管理是教学管理的核心。为实现中职学校教学管理的程序化、规范化、科学化、信息化，各学校要依据本专业教学指导方案，规范制定本专业实施性教学计划，并加强对学校实施性教学计划执行的管理监督，严格按教学计划开设课程，统一公共基础课的教学要求，加强对教学过程的质量监控。实施中职公共基础课学生学业质量评价，积极推行技能抽查、学业水平测试、综合素质评价和毕业生质量跟踪调查等。要按照教育部关于建立职业院校教学工作诊断与改进制度的有关要求，全面开展教学诊断与改进工作，不断完善内部质量保证制度体系和运行机制。</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按教育行政管理部门的规定实行学分制管理，积极推进学历证和职业资格证“双证书”制度。开展校企联合招生、联合培养的现代学徒制试点，推进校企一体化育人。制定学生实习管理实施办法，认真落实《中等职业学校学生实习管理办法》的规定和要求，加强监管。</w:t>
      </w:r>
    </w:p>
    <w:p>
      <w:pPr>
        <w:pStyle w:val="2"/>
        <w:pageBreakBefore w:val="0"/>
        <w:kinsoku/>
        <w:wordWrap/>
        <w:overflowPunct/>
        <w:topLinePunct w:val="0"/>
        <w:autoSpaceDE/>
        <w:autoSpaceDN/>
        <w:bidi w:val="0"/>
        <w:adjustRightInd/>
        <w:snapToGrid/>
        <w:spacing w:line="560" w:lineRule="exact"/>
        <w:ind w:firstLine="562" w:firstLineChars="200"/>
        <w:rPr>
          <w:rFonts w:ascii="仿宋_GB2312" w:hAnsi="仿宋_GB2312" w:eastAsia="仿宋_GB2312" w:cs="仿宋_GB2312"/>
          <w:sz w:val="28"/>
          <w:szCs w:val="28"/>
        </w:rPr>
      </w:pPr>
      <w:bookmarkStart w:id="91" w:name="_Toc7713"/>
      <w:bookmarkStart w:id="92" w:name="_Toc414"/>
      <w:bookmarkStart w:id="93" w:name="_Toc10690"/>
      <w:r>
        <w:rPr>
          <w:rFonts w:hint="eastAsia" w:ascii="仿宋_GB2312" w:hAnsi="仿宋_GB2312" w:eastAsia="仿宋_GB2312" w:cs="仿宋_GB2312"/>
          <w:sz w:val="28"/>
          <w:szCs w:val="28"/>
        </w:rPr>
        <w:t>九、毕业要求</w:t>
      </w:r>
      <w:bookmarkEnd w:id="91"/>
      <w:bookmarkEnd w:id="92"/>
      <w:bookmarkEnd w:id="93"/>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本专业毕业生在毕业审查时，要求同时满足以下条件：</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1.无任何纪律处分和违法记录，思想政治合格。</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2.根据专业人才培养目标和培养规格，结合本校实际情况，学生通过3年的学习必须修满专业人才培养方案规定的学时和学分。</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3.根据职业岗位需求,学生毕业之前须取得与专业相关的一项职业资格证书或“1+X”职业技能等级证书。</w:t>
      </w:r>
    </w:p>
    <w:p>
      <w:pPr>
        <w:pStyle w:val="2"/>
        <w:pageBreakBefore w:val="0"/>
        <w:kinsoku/>
        <w:wordWrap/>
        <w:overflowPunct/>
        <w:topLinePunct w:val="0"/>
        <w:autoSpaceDE/>
        <w:autoSpaceDN/>
        <w:bidi w:val="0"/>
        <w:adjustRightInd/>
        <w:snapToGrid/>
        <w:spacing w:line="560" w:lineRule="exact"/>
        <w:ind w:firstLine="562" w:firstLineChars="200"/>
        <w:rPr>
          <w:rFonts w:ascii="仿宋_GB2312" w:hAnsi="仿宋_GB2312" w:eastAsia="仿宋_GB2312" w:cs="仿宋_GB2312"/>
          <w:sz w:val="28"/>
          <w:szCs w:val="28"/>
        </w:rPr>
      </w:pPr>
      <w:bookmarkStart w:id="94" w:name="_Toc22432"/>
      <w:bookmarkStart w:id="95" w:name="_Toc17281"/>
      <w:bookmarkStart w:id="96" w:name="_Toc5845"/>
      <w:r>
        <w:rPr>
          <w:rFonts w:hint="eastAsia" w:ascii="仿宋_GB2312" w:hAnsi="仿宋_GB2312" w:eastAsia="仿宋_GB2312" w:cs="仿宋_GB2312"/>
          <w:sz w:val="28"/>
          <w:szCs w:val="28"/>
        </w:rPr>
        <w:t>十、其他</w:t>
      </w:r>
      <w:bookmarkEnd w:id="94"/>
      <w:bookmarkEnd w:id="95"/>
      <w:bookmarkEnd w:id="96"/>
    </w:p>
    <w:p>
      <w:pPr>
        <w:pStyle w:val="3"/>
        <w:pageBreakBefore w:val="0"/>
        <w:kinsoku/>
        <w:wordWrap/>
        <w:overflowPunct/>
        <w:topLinePunct w:val="0"/>
        <w:autoSpaceDE/>
        <w:autoSpaceDN/>
        <w:bidi w:val="0"/>
        <w:adjustRightInd/>
        <w:snapToGrid/>
        <w:spacing w:line="560" w:lineRule="exact"/>
        <w:ind w:firstLine="562" w:firstLineChars="200"/>
        <w:rPr>
          <w:rFonts w:ascii="仿宋_GB2312" w:hAnsi="仿宋_GB2312" w:cs="仿宋_GB2312"/>
          <w:sz w:val="28"/>
          <w:szCs w:val="28"/>
        </w:rPr>
      </w:pPr>
      <w:bookmarkStart w:id="97" w:name="_Toc19350"/>
      <w:bookmarkStart w:id="98" w:name="_Toc32256"/>
      <w:bookmarkStart w:id="99" w:name="_Toc533"/>
      <w:r>
        <w:rPr>
          <w:rFonts w:hint="eastAsia" w:ascii="仿宋_GB2312" w:hAnsi="仿宋_GB2312" w:cs="仿宋_GB2312"/>
          <w:sz w:val="28"/>
          <w:szCs w:val="28"/>
        </w:rPr>
        <w:t>（一）编写依据</w:t>
      </w:r>
      <w:bookmarkEnd w:id="97"/>
      <w:bookmarkEnd w:id="98"/>
      <w:bookmarkEnd w:id="99"/>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1.教育部《关于职业院校专业人才培养方案制定与实施工作的指导意见》</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2.教育部《中等职业学校汽车服务与营销专业教学标准》</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3.教育部《职业院校专业实训条件建设标准》</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4.重庆市《中等职业学校汽车服务与营销专业人才培养指导方案》</w:t>
      </w:r>
    </w:p>
    <w:p>
      <w:pPr>
        <w:pStyle w:val="3"/>
        <w:pageBreakBefore w:val="0"/>
        <w:kinsoku/>
        <w:wordWrap/>
        <w:overflowPunct/>
        <w:topLinePunct w:val="0"/>
        <w:autoSpaceDE/>
        <w:autoSpaceDN/>
        <w:bidi w:val="0"/>
        <w:adjustRightInd/>
        <w:snapToGrid/>
        <w:spacing w:line="560" w:lineRule="exact"/>
        <w:ind w:firstLine="562" w:firstLineChars="200"/>
        <w:rPr>
          <w:rFonts w:ascii="仿宋_GB2312" w:hAnsi="仿宋_GB2312" w:cs="仿宋_GB2312"/>
          <w:sz w:val="28"/>
          <w:szCs w:val="28"/>
        </w:rPr>
      </w:pPr>
      <w:bookmarkStart w:id="100" w:name="_Toc29642"/>
      <w:bookmarkStart w:id="101" w:name="_Toc25178"/>
      <w:bookmarkStart w:id="102" w:name="_Toc11834"/>
      <w:r>
        <w:rPr>
          <w:rFonts w:hint="eastAsia" w:ascii="仿宋_GB2312" w:hAnsi="仿宋_GB2312" w:cs="仿宋_GB2312"/>
          <w:sz w:val="28"/>
          <w:szCs w:val="28"/>
        </w:rPr>
        <w:t>（二）适用范围</w:t>
      </w:r>
      <w:bookmarkEnd w:id="100"/>
      <w:bookmarkEnd w:id="101"/>
      <w:bookmarkEnd w:id="102"/>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1.中职三年制汽车服务与营销专业。</w:t>
      </w:r>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2.汽车专业3+4、五年制的中等职业教育阶段可参照执行。</w:t>
      </w:r>
    </w:p>
    <w:p>
      <w:pPr>
        <w:pStyle w:val="3"/>
        <w:pageBreakBefore w:val="0"/>
        <w:kinsoku/>
        <w:wordWrap/>
        <w:overflowPunct/>
        <w:topLinePunct w:val="0"/>
        <w:autoSpaceDE/>
        <w:autoSpaceDN/>
        <w:bidi w:val="0"/>
        <w:adjustRightInd/>
        <w:snapToGrid/>
        <w:spacing w:line="560" w:lineRule="exact"/>
        <w:ind w:firstLine="562" w:firstLineChars="200"/>
        <w:rPr>
          <w:rFonts w:ascii="仿宋_GB2312" w:hAnsi="仿宋_GB2312" w:cs="仿宋_GB2312"/>
          <w:sz w:val="28"/>
          <w:szCs w:val="28"/>
        </w:rPr>
      </w:pPr>
      <w:bookmarkStart w:id="103" w:name="_Toc4141"/>
      <w:bookmarkStart w:id="104" w:name="_Toc32432"/>
      <w:bookmarkStart w:id="105" w:name="_Toc31937"/>
      <w:r>
        <w:rPr>
          <w:rFonts w:hint="eastAsia" w:ascii="仿宋_GB2312" w:hAnsi="仿宋_GB2312" w:cs="仿宋_GB2312"/>
          <w:sz w:val="28"/>
          <w:szCs w:val="28"/>
        </w:rPr>
        <w:t>（三）修订原则</w:t>
      </w:r>
      <w:bookmarkEnd w:id="103"/>
      <w:bookmarkEnd w:id="104"/>
      <w:bookmarkEnd w:id="105"/>
    </w:p>
    <w:p>
      <w:pPr>
        <w:pageBreakBefore w:val="0"/>
        <w:kinsoku/>
        <w:wordWrap/>
        <w:overflowPunct/>
        <w:topLinePunct w:val="0"/>
        <w:autoSpaceDE/>
        <w:autoSpaceDN/>
        <w:bidi w:val="0"/>
        <w:adjustRightInd/>
        <w:snapToGrid/>
        <w:spacing w:line="560" w:lineRule="exac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原则上每三年修订一次，修订后报专业建设指导委员会和学校教务处审核通过后实施。</w:t>
      </w:r>
    </w:p>
    <w:p>
      <w:pPr>
        <w:ind w:firstLine="560" w:firstLineChars="200"/>
        <w:jc w:val="center"/>
        <w:rPr>
          <w:sz w:val="28"/>
          <w:szCs w:val="28"/>
        </w:rPr>
      </w:pPr>
    </w:p>
    <w:p>
      <w:pPr>
        <w:ind w:firstLine="560" w:firstLineChars="200"/>
        <w:rPr>
          <w:rFonts w:ascii="仿宋_GB2312" w:hAnsi="仿宋_GB2312" w:eastAsia="仿宋_GB2312" w:cs="仿宋_GB2312"/>
          <w:sz w:val="28"/>
          <w:szCs w:val="28"/>
        </w:rPr>
      </w:pPr>
    </w:p>
    <w:p>
      <w:pPr>
        <w:ind w:firstLine="560" w:firstLineChars="200"/>
        <w:rPr>
          <w:rFonts w:ascii="仿宋_GB2312" w:hAnsi="仿宋_GB2312" w:eastAsia="仿宋_GB2312" w:cs="仿宋_GB2312"/>
          <w:sz w:val="28"/>
          <w:szCs w:val="28"/>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2056" o:spid="_x0000_s2056"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4"/>
                </w:pPr>
                <w:r>
                  <w:fldChar w:fldCharType="begin"/>
                </w:r>
                <w:r>
                  <w:instrText xml:space="preserve"> PAGE  \* MERGEFORMAT </w:instrText>
                </w:r>
                <w:r>
                  <w:fldChar w:fldCharType="separate"/>
                </w:r>
                <w:r>
                  <w:t>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59BFCE"/>
    <w:multiLevelType w:val="singleLevel"/>
    <w:tmpl w:val="BC59BFCE"/>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2274D5B"/>
    <w:rsid w:val="0010516B"/>
    <w:rsid w:val="001A27E9"/>
    <w:rsid w:val="001D78CA"/>
    <w:rsid w:val="002450A8"/>
    <w:rsid w:val="00341FBB"/>
    <w:rsid w:val="003D4495"/>
    <w:rsid w:val="004320EC"/>
    <w:rsid w:val="005A06E9"/>
    <w:rsid w:val="006B6423"/>
    <w:rsid w:val="006C5D07"/>
    <w:rsid w:val="00766DA2"/>
    <w:rsid w:val="007E538B"/>
    <w:rsid w:val="007F7E28"/>
    <w:rsid w:val="00874552"/>
    <w:rsid w:val="00AB62FC"/>
    <w:rsid w:val="00AE549C"/>
    <w:rsid w:val="00B3772D"/>
    <w:rsid w:val="00B90CF4"/>
    <w:rsid w:val="00BC2F0E"/>
    <w:rsid w:val="00BE69B0"/>
    <w:rsid w:val="00C50E88"/>
    <w:rsid w:val="00CB753D"/>
    <w:rsid w:val="00DA558B"/>
    <w:rsid w:val="00E7067A"/>
    <w:rsid w:val="00EA6C21"/>
    <w:rsid w:val="00F82D0B"/>
    <w:rsid w:val="00FD30A9"/>
    <w:rsid w:val="03C73EA9"/>
    <w:rsid w:val="071027D9"/>
    <w:rsid w:val="07191034"/>
    <w:rsid w:val="0B8831DA"/>
    <w:rsid w:val="0DAD7DA6"/>
    <w:rsid w:val="0F246177"/>
    <w:rsid w:val="0FA83AEC"/>
    <w:rsid w:val="131C23A5"/>
    <w:rsid w:val="13244AAA"/>
    <w:rsid w:val="132F1B35"/>
    <w:rsid w:val="13447DE2"/>
    <w:rsid w:val="14D145A1"/>
    <w:rsid w:val="18463B55"/>
    <w:rsid w:val="18AB086C"/>
    <w:rsid w:val="1A661D03"/>
    <w:rsid w:val="1B9A3B43"/>
    <w:rsid w:val="1D6F3B15"/>
    <w:rsid w:val="1DAC7D25"/>
    <w:rsid w:val="1E2A353F"/>
    <w:rsid w:val="229672A7"/>
    <w:rsid w:val="23BC09CC"/>
    <w:rsid w:val="2575066C"/>
    <w:rsid w:val="274009F7"/>
    <w:rsid w:val="295C7CE9"/>
    <w:rsid w:val="29B61194"/>
    <w:rsid w:val="29E7204A"/>
    <w:rsid w:val="2A021B2B"/>
    <w:rsid w:val="2CDF7393"/>
    <w:rsid w:val="30753040"/>
    <w:rsid w:val="312E0136"/>
    <w:rsid w:val="324D4915"/>
    <w:rsid w:val="33721C99"/>
    <w:rsid w:val="349C0ACA"/>
    <w:rsid w:val="350A1FCE"/>
    <w:rsid w:val="36F24425"/>
    <w:rsid w:val="3B017809"/>
    <w:rsid w:val="3B5769C7"/>
    <w:rsid w:val="3DFB0B66"/>
    <w:rsid w:val="3E015879"/>
    <w:rsid w:val="40014D79"/>
    <w:rsid w:val="42EC224D"/>
    <w:rsid w:val="438A30AB"/>
    <w:rsid w:val="43DD2566"/>
    <w:rsid w:val="463E2A2A"/>
    <w:rsid w:val="484C7159"/>
    <w:rsid w:val="49646B21"/>
    <w:rsid w:val="4C07373A"/>
    <w:rsid w:val="4CD97A25"/>
    <w:rsid w:val="4DD6101A"/>
    <w:rsid w:val="4ECF1820"/>
    <w:rsid w:val="4F504111"/>
    <w:rsid w:val="50A65E47"/>
    <w:rsid w:val="519E113E"/>
    <w:rsid w:val="51A516BF"/>
    <w:rsid w:val="5405721F"/>
    <w:rsid w:val="579308F9"/>
    <w:rsid w:val="5B043C8C"/>
    <w:rsid w:val="5B141AA4"/>
    <w:rsid w:val="5C0F7017"/>
    <w:rsid w:val="5D741A93"/>
    <w:rsid w:val="5DAD347F"/>
    <w:rsid w:val="5DC10EA2"/>
    <w:rsid w:val="5E561F73"/>
    <w:rsid w:val="62274D5B"/>
    <w:rsid w:val="63BB0F65"/>
    <w:rsid w:val="651025BB"/>
    <w:rsid w:val="66680487"/>
    <w:rsid w:val="676C7697"/>
    <w:rsid w:val="67973B0F"/>
    <w:rsid w:val="685E66CC"/>
    <w:rsid w:val="6B994432"/>
    <w:rsid w:val="6C1B36DD"/>
    <w:rsid w:val="6D9F3CFD"/>
    <w:rsid w:val="6F837505"/>
    <w:rsid w:val="6FCD79A2"/>
    <w:rsid w:val="71610C71"/>
    <w:rsid w:val="765858FF"/>
    <w:rsid w:val="78044D83"/>
    <w:rsid w:val="781275C4"/>
    <w:rsid w:val="78B62083"/>
    <w:rsid w:val="79752B04"/>
    <w:rsid w:val="7B9238CC"/>
    <w:rsid w:val="7CCF5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unhideWhenUsed/>
    <w:qFormat/>
    <w:uiPriority w:val="0"/>
    <w:pPr>
      <w:keepNext/>
      <w:keepLines/>
      <w:spacing w:line="413" w:lineRule="auto"/>
      <w:outlineLvl w:val="1"/>
    </w:pPr>
    <w:rPr>
      <w:rFonts w:ascii="Arial" w:hAnsi="Arial" w:eastAsia="仿宋_GB2312"/>
      <w:b/>
      <w:sz w:val="28"/>
    </w:rPr>
  </w:style>
  <w:style w:type="character" w:default="1" w:styleId="12">
    <w:name w:val="Default Paragraph Font"/>
    <w:unhideWhenUsed/>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宋体"/>
      <w:kern w:val="0"/>
      <w:sz w:val="24"/>
    </w:rPr>
  </w:style>
  <w:style w:type="paragraph" w:styleId="9">
    <w:name w:val="Normal (Web)"/>
    <w:basedOn w:val="1"/>
    <w:qFormat/>
    <w:uiPriority w:val="99"/>
    <w:pPr>
      <w:spacing w:before="100" w:beforeAutospacing="1" w:after="100" w:afterAutospacing="1"/>
      <w:jc w:val="left"/>
    </w:pPr>
    <w:rPr>
      <w:kern w:val="0"/>
      <w:sz w:val="24"/>
    </w:rPr>
  </w:style>
  <w:style w:type="table" w:styleId="11">
    <w:name w:val="Table Grid"/>
    <w:basedOn w:val="10"/>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14">
    <w:name w:val="List Paragraph"/>
    <w:basedOn w:val="1"/>
    <w:qFormat/>
    <w:uiPriority w:val="1"/>
    <w:pPr>
      <w:autoSpaceDE w:val="0"/>
      <w:autoSpaceDN w:val="0"/>
      <w:spacing w:before="192"/>
      <w:ind w:left="1357" w:hanging="301"/>
      <w:jc w:val="left"/>
    </w:pPr>
    <w:rPr>
      <w:rFonts w:ascii="宋体" w:hAnsi="宋体" w:cs="宋体"/>
      <w:kern w:val="0"/>
      <w:sz w:val="22"/>
      <w:szCs w:val="22"/>
      <w:lang w:val="zh-CN" w:bidi="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6"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21</Pages>
  <Words>1771</Words>
  <Characters>10100</Characters>
  <Lines>84</Lines>
  <Paragraphs>23</Paragraphs>
  <TotalTime>15</TotalTime>
  <ScaleCrop>false</ScaleCrop>
  <LinksUpToDate>false</LinksUpToDate>
  <CharactersWithSpaces>11848</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2021-06-23T07:27:00Z</dcterms:created>
  <dc:creator>Administrator</dc:creator>
  <cp:lastModifiedBy>Administrator</cp:lastModifiedBy>
  <dcterms:modified xsi:type="dcterms:W3CDTF">2021-07-22T08:42:08Z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569CE5ED3AA44FFDA20962AD622D227C</vt:lpwstr>
  </property>
</Properties>
</file>